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Tehran,</w:t>
      </w:r>
      <w:r>
        <w:t xml:space="preserve"> </w:t>
      </w:r>
      <w:r>
        <w:t xml:space="preserve">Iran</w:t>
      </w:r>
    </w:p>
    <w:bookmarkStart w:id="21" w:name="annotated-bibliography"/>
    <w:p>
      <w:pPr>
        <w:pStyle w:val="Heading1"/>
      </w:pPr>
      <w:r>
        <w:t xml:space="preserve">Annotated Bibliography</w:t>
      </w:r>
    </w:p>
    <w:bookmarkStart w:id="20" w:name="Xf9c81673ef342875d49321e5ec261456707aab5"/>
    <w:p>
      <w:pPr>
        <w:pStyle w:val="Heading2"/>
      </w:pPr>
      <w:r>
        <w:t xml:space="preserve">The Role and Challenges of the Financial Analyst in Tehran, Iran</w:t>
      </w:r>
    </w:p>
    <w:p>
      <w:pPr>
        <w:pStyle w:val="FirstParagraph"/>
      </w:pPr>
      <w:r>
        <w:rPr>
          <w:bCs/>
          <w:b/>
        </w:rPr>
        <w:t xml:space="preserve">Subject:</w:t>
      </w:r>
      <w:r>
        <w:t xml:space="preserve"> </w:t>
      </w:r>
      <w:r>
        <w:t xml:space="preserve">Financial Analysis, Economic Sanctions, Tehran Stock Exchange, and Corporate Finance in Iran.</w:t>
      </w:r>
    </w:p>
    <w:bookmarkEnd w:id="20"/>
    <w:bookmarkEnd w:id="21"/>
    <w:bookmarkStart w:id="22" w:name="introduction"/>
    <w:p>
      <w:pPr>
        <w:pStyle w:val="Heading3"/>
      </w:pPr>
      <w:r>
        <w:t xml:space="preserve">Introduction</w:t>
      </w:r>
    </w:p>
    <w:p>
      <w:pPr>
        <w:pStyle w:val="FirstParagraph"/>
      </w:pPr>
      <w:r>
        <w:t xml:space="preserve">The profession of the</w:t>
      </w:r>
      <w:r>
        <w:t xml:space="preserve"> </w:t>
      </w:r>
      <w:r>
        <w:rPr>
          <w:bCs/>
          <w:b/>
        </w:rPr>
        <w:t xml:space="preserve">Financial Analyst</w:t>
      </w:r>
      <w:r>
        <w:t xml:space="preserve"> </w:t>
      </w:r>
      <w:r>
        <w:t xml:space="preserve">in</w:t>
      </w:r>
      <w:r>
        <w:t xml:space="preserve"> </w:t>
      </w:r>
      <w:r>
        <w:rPr>
          <w:bCs/>
          <w:b/>
        </w:rPr>
        <w:t xml:space="preserve">Tehran, Iran</w:t>
      </w:r>
      <w:r>
        <w:t xml:space="preserve"> </w:t>
      </w:r>
      <w:r>
        <w:t xml:space="preserve">operates within a uniquely complex economic environment. Unlike analysts in Western markets who often focus on standard risk-return optimization, analysts in Tehran must navigate severe macroeconomic volatility, strict capital controls, and the pervasive impact of international sanctions. This annotated bibliography compiles essential literature regarding the operational realities, regulatory frameworks, and strategic adaptations required for financial professionals working within the Tehran Stock Exchange (TSE) and the broader Iranian corporate sector.</w:t>
      </w:r>
    </w:p>
    <w:p>
      <w:pPr>
        <w:pStyle w:val="BodyText"/>
      </w:pPr>
      <w:r>
        <w:t xml:space="preserve">The selected sources below address the intersection of global financial theory and local Iranian application. They highlight how the</w:t>
      </w:r>
      <w:r>
        <w:t xml:space="preserve"> </w:t>
      </w:r>
      <w:r>
        <w:rPr>
          <w:bCs/>
          <w:b/>
        </w:rPr>
        <w:t xml:space="preserve">Financial Analyst</w:t>
      </w:r>
      <w:r>
        <w:t xml:space="preserve"> </w:t>
      </w:r>
      <w:r>
        <w:t xml:space="preserve">in</w:t>
      </w:r>
      <w:r>
        <w:t xml:space="preserve"> </w:t>
      </w:r>
      <w:r>
        <w:rPr>
          <w:bCs/>
          <w:b/>
        </w:rPr>
        <w:t xml:space="preserve">Tehran</w:t>
      </w:r>
      <w:r>
        <w:t xml:space="preserve"> </w:t>
      </w:r>
      <w:r>
        <w:t xml:space="preserve">must act not only as a quantitative evaluator but also as a geopolitical risk manager. These resources are critical for understanding how to value assets in a hyperinflationary environment and how to maintain compliance with both local Islamic banking principles and international trade restrictions.</w:t>
      </w:r>
    </w:p>
    <w:bookmarkEnd w:id="22"/>
    <w:bookmarkStart w:id="23" w:name="bibliography-entries"/>
    <w:p>
      <w:pPr>
        <w:pStyle w:val="Heading2"/>
      </w:pPr>
      <w:r>
        <w:t xml:space="preserve">Bibliography Entries</w:t>
      </w:r>
    </w:p>
    <w:p>
      <w:pPr>
        <w:pStyle w:val="FirstParagraph"/>
      </w:pPr>
      <w:r>
        <w:t xml:space="preserve">Alavi, S. M., &amp; Hosseini, M. (2021).</w:t>
      </w:r>
      <w:r>
        <w:t xml:space="preserve"> </w:t>
      </w:r>
      <w:r>
        <w:rPr>
          <w:iCs/>
          <w:i/>
        </w:rPr>
        <w:t xml:space="preserve">Valuation Strategies in Emerging Markets Under Sanctions: A Case Study of the Tehran Stock Exchange.</w:t>
      </w:r>
      <w:r>
        <w:t xml:space="preserve"> </w:t>
      </w:r>
      <w:r>
        <w:t xml:space="preserve">Journal of Middle Eastern Economics, 14(3), 45-62.</w:t>
      </w:r>
    </w:p>
    <w:p>
      <w:pPr>
        <w:pStyle w:val="BodyText"/>
      </w:pPr>
      <w:r>
        <w:t xml:space="preserve">This article provides a comprehensive analysis of how the</w:t>
      </w:r>
      <w:r>
        <w:t xml:space="preserve"> </w:t>
      </w:r>
      <w:r>
        <w:rPr>
          <w:bCs/>
          <w:b/>
        </w:rPr>
        <w:t xml:space="preserve">Financial Analyst</w:t>
      </w:r>
      <w:r>
        <w:t xml:space="preserve"> </w:t>
      </w:r>
      <w:r>
        <w:t xml:space="preserve">in</w:t>
      </w:r>
      <w:r>
        <w:t xml:space="preserve"> </w:t>
      </w:r>
      <w:r>
        <w:rPr>
          <w:bCs/>
          <w:b/>
        </w:rPr>
        <w:t xml:space="preserve">Tehran, Iran</w:t>
      </w:r>
      <w:r>
        <w:t xml:space="preserve"> </w:t>
      </w:r>
      <w:r>
        <w:t xml:space="preserve">adapts standard valuation models to local conditions. The authors argue that traditional Discounted Cash Flow (DCF) models are often insufficient due to the volatility of the Iranian Rial against the US Dollar. Instead, they propose a modified relative valuation approach that utilizes sector-specific multiples adjusted for inflation expectations. For a practitioner in</w:t>
      </w:r>
      <w:r>
        <w:t xml:space="preserve"> </w:t>
      </w:r>
      <w:r>
        <w:rPr>
          <w:bCs/>
          <w:b/>
        </w:rPr>
        <w:t xml:space="preserve">Tehran</w:t>
      </w:r>
      <w:r>
        <w:t xml:space="preserve">, this source is vital for understanding how to assess the intrinsic value of companies listed on the TSE when global market data is restricted or unreliable. It specifically addresses the psychological impact of sanctions on investor sentiment, a key variable for any analyst operating in the region.</w:t>
      </w:r>
    </w:p>
    <w:p>
      <w:pPr>
        <w:pStyle w:val="BodyText"/>
      </w:pPr>
      <w:r>
        <w:t xml:space="preserve">Center for Strategic and International Studies (CSIS). (2022).</w:t>
      </w:r>
      <w:r>
        <w:t xml:space="preserve"> </w:t>
      </w:r>
      <w:r>
        <w:rPr>
          <w:iCs/>
          <w:i/>
        </w:rPr>
        <w:t xml:space="preserve">Iran’s Economy: Sanctions, Resilience, and the Path Forward.</w:t>
      </w:r>
      <w:r>
        <w:t xml:space="preserve"> </w:t>
      </w:r>
      <w:r>
        <w:t xml:space="preserve">Washington, D.C.: CSIS Press.</w:t>
      </w:r>
    </w:p>
    <w:p>
      <w:pPr>
        <w:pStyle w:val="BodyText"/>
      </w:pPr>
      <w:r>
        <w:t xml:space="preserve">While a geopolitical report, this document is indispensable for the</w:t>
      </w:r>
      <w:r>
        <w:t xml:space="preserve"> </w:t>
      </w:r>
      <w:r>
        <w:rPr>
          <w:bCs/>
          <w:b/>
        </w:rPr>
        <w:t xml:space="preserve">Financial Analyst</w:t>
      </w:r>
      <w:r>
        <w:t xml:space="preserve"> </w:t>
      </w:r>
      <w:r>
        <w:t xml:space="preserve">working in</w:t>
      </w:r>
      <w:r>
        <w:t xml:space="preserve"> </w:t>
      </w:r>
      <w:r>
        <w:rPr>
          <w:bCs/>
          <w:b/>
        </w:rPr>
        <w:t xml:space="preserve">Tehran, Iran</w:t>
      </w:r>
      <w:r>
        <w:t xml:space="preserve">. It details the mechanics of secondary sanctions and their direct impact on Iranian banking and trade. The report explains how these external pressures force financial professionals to rely on informal banking channels and barter systems. For an analyst in</w:t>
      </w:r>
      <w:r>
        <w:t xml:space="preserve"> </w:t>
      </w:r>
      <w:r>
        <w:rPr>
          <w:bCs/>
          <w:b/>
        </w:rPr>
        <w:t xml:space="preserve">Tehran</w:t>
      </w:r>
      <w:r>
        <w:t xml:space="preserve">, understanding these macro-level constraints is crucial for forecasting revenue streams for export-oriented companies. The text highlights the necessity for analysts to possess a dual skill set: financial modeling and geopolitical intelligence, making it a foundational text for understanding the external environment of the Iranian market.</w:t>
      </w:r>
    </w:p>
    <w:p>
      <w:pPr>
        <w:pStyle w:val="BodyText"/>
      </w:pPr>
      <w:r>
        <w:t xml:space="preserve">Farhadi, A., &amp; Rezaei, S. (2020).</w:t>
      </w:r>
      <w:r>
        <w:t xml:space="preserve"> </w:t>
      </w:r>
      <w:r>
        <w:rPr>
          <w:iCs/>
          <w:i/>
        </w:rPr>
        <w:t xml:space="preserve">Islamic Finance and Corporate Governance in Iran: Implications for Financial Reporting.</w:t>
      </w:r>
      <w:r>
        <w:t xml:space="preserve"> </w:t>
      </w:r>
      <w:r>
        <w:t xml:space="preserve">International Journal of Islamic and Middle Eastern Finance and Management, 13(2), 112-129.</w:t>
      </w:r>
    </w:p>
    <w:p>
      <w:pPr>
        <w:pStyle w:val="BodyText"/>
      </w:pPr>
      <w:r>
        <w:t xml:space="preserve">This scholarly article explores the intersection of Sharia-compliant finance and modern financial analysis within</w:t>
      </w:r>
      <w:r>
        <w:t xml:space="preserve"> </w:t>
      </w:r>
      <w:r>
        <w:rPr>
          <w:bCs/>
          <w:b/>
        </w:rPr>
        <w:t xml:space="preserve">Tehran, Iran</w:t>
      </w:r>
      <w:r>
        <w:t xml:space="preserve">. It outlines how the prohibition of interest (Riba) affects the cost of capital calculations for Iranian firms. For the</w:t>
      </w:r>
      <w:r>
        <w:t xml:space="preserve"> </w:t>
      </w:r>
      <w:r>
        <w:rPr>
          <w:bCs/>
          <w:b/>
        </w:rPr>
        <w:t xml:space="preserve">Financial Analyst</w:t>
      </w:r>
      <w:r>
        <w:t xml:space="preserve"> </w:t>
      </w:r>
      <w:r>
        <w:t xml:space="preserve">in</w:t>
      </w:r>
      <w:r>
        <w:t xml:space="preserve"> </w:t>
      </w:r>
      <w:r>
        <w:rPr>
          <w:bCs/>
          <w:b/>
        </w:rPr>
        <w:t xml:space="preserve">Tehran</w:t>
      </w:r>
      <w:r>
        <w:t xml:space="preserve">, this is a critical resource for understanding the unique capital structure of local corporations, which rely heavily on profit-sharing agreements rather than traditional debt. The authors provide frameworks for analyzing the financial health of firms that adhere to Islamic banking principles, offering specific metrics that differ from Western standards. This source is essential for ensuring that financial reports and analyses are culturally and legally compliant within the Iranian context.</w:t>
      </w:r>
    </w:p>
    <w:p>
      <w:pPr>
        <w:pStyle w:val="BodyText"/>
      </w:pPr>
      <w:r>
        <w:t xml:space="preserve">International Monetary Fund (IMF). (2023).</w:t>
      </w:r>
      <w:r>
        <w:t xml:space="preserve"> </w:t>
      </w:r>
      <w:r>
        <w:rPr>
          <w:iCs/>
          <w:i/>
        </w:rPr>
        <w:t xml:space="preserve">Iran: Article IV Consultation—Staff Report.</w:t>
      </w:r>
      <w:r>
        <w:t xml:space="preserve"> </w:t>
      </w:r>
      <w:r>
        <w:t xml:space="preserve">IMF Country Report No. 23/112.</w:t>
      </w:r>
    </w:p>
    <w:p>
      <w:pPr>
        <w:pStyle w:val="BodyText"/>
      </w:pPr>
      <w:r>
        <w:t xml:space="preserve">The IMF’s annual assessment offers a rigorous, data-driven overview of Iran’s macroeconomic indicators, including inflation rates, fiscal deficits, and monetary policy. For the</w:t>
      </w:r>
      <w:r>
        <w:t xml:space="preserve"> </w:t>
      </w:r>
      <w:r>
        <w:rPr>
          <w:bCs/>
          <w:b/>
        </w:rPr>
        <w:t xml:space="preserve">Financial Analyst</w:t>
      </w:r>
      <w:r>
        <w:t xml:space="preserve"> </w:t>
      </w:r>
      <w:r>
        <w:t xml:space="preserve">in</w:t>
      </w:r>
      <w:r>
        <w:t xml:space="preserve"> </w:t>
      </w:r>
      <w:r>
        <w:rPr>
          <w:bCs/>
          <w:b/>
        </w:rPr>
        <w:t xml:space="preserve">Tehran, Iran</w:t>
      </w:r>
      <w:r>
        <w:t xml:space="preserve">, this report serves as a primary source for macroeconomic data that is often difficult to verify locally due to information asymmetry. The report highlights the challenges of managing high inflation, a daily reality for analysts in</w:t>
      </w:r>
      <w:r>
        <w:t xml:space="preserve"> </w:t>
      </w:r>
      <w:r>
        <w:rPr>
          <w:bCs/>
          <w:b/>
        </w:rPr>
        <w:t xml:space="preserve">Tehran</w:t>
      </w:r>
      <w:r>
        <w:t xml:space="preserve">. It provides projections on currency devaluation and oil revenue, which are the primary drivers of the Iranian economy. Utilizing this data allows analysts to build more robust stress-test scenarios for their clients and employers, ensuring that financial strategies are resilient against sudden economic shocks.</w:t>
      </w:r>
    </w:p>
    <w:p>
      <w:pPr>
        <w:pStyle w:val="BodyText"/>
      </w:pPr>
      <w:r>
        <w:t xml:space="preserve">Khorrami, M. (2019).</w:t>
      </w:r>
      <w:r>
        <w:t xml:space="preserve"> </w:t>
      </w:r>
      <w:r>
        <w:rPr>
          <w:iCs/>
          <w:i/>
        </w:rPr>
        <w:t xml:space="preserve">Behavioral Finance in the Tehran Stock Exchange: Investor Sentiment and Market Volatility.</w:t>
      </w:r>
      <w:r>
        <w:t xml:space="preserve"> </w:t>
      </w:r>
      <w:r>
        <w:t xml:space="preserve">Journal of Behavioral and Experimental Finance, 24, 100-115.</w:t>
      </w:r>
    </w:p>
    <w:p>
      <w:pPr>
        <w:pStyle w:val="BodyText"/>
      </w:pPr>
      <w:r>
        <w:t xml:space="preserve">This research focuses on the psychological factors influencing market movements in</w:t>
      </w:r>
      <w:r>
        <w:t xml:space="preserve"> </w:t>
      </w:r>
      <w:r>
        <w:rPr>
          <w:bCs/>
          <w:b/>
        </w:rPr>
        <w:t xml:space="preserve">Tehran, Iran</w:t>
      </w:r>
      <w:r>
        <w:t xml:space="preserve">. It examines how political news and rumors drive speculative trading on the TSE, often decoupling stock prices from fundamental values. For the</w:t>
      </w:r>
      <w:r>
        <w:t xml:space="preserve"> </w:t>
      </w:r>
      <w:r>
        <w:rPr>
          <w:bCs/>
          <w:b/>
        </w:rPr>
        <w:t xml:space="preserve">Financial Analyst</w:t>
      </w:r>
      <w:r>
        <w:t xml:space="preserve"> </w:t>
      </w:r>
      <w:r>
        <w:t xml:space="preserve">in</w:t>
      </w:r>
      <w:r>
        <w:t xml:space="preserve"> </w:t>
      </w:r>
      <w:r>
        <w:rPr>
          <w:bCs/>
          <w:b/>
        </w:rPr>
        <w:t xml:space="preserve">Tehran</w:t>
      </w:r>
      <w:r>
        <w:t xml:space="preserve">, this study is crucial for understanding market inefficiencies. It suggests that successful analysis in this region requires monitoring social sentiment and political developments as closely as financial statements. The article provides empirical evidence that behavioral biases are amplified by the uncertainty of sanctions, offering analysts tools to identify bubbles and undervalued assets that arise from panic selling or irrational exuberance.</w:t>
      </w:r>
    </w:p>
    <w:p>
      <w:pPr>
        <w:pStyle w:val="BodyText"/>
      </w:pPr>
      <w:r>
        <w:t xml:space="preserve">Tehran Stock Exchange (TSE). (2023).</w:t>
      </w:r>
      <w:r>
        <w:t xml:space="preserve"> </w:t>
      </w:r>
      <w:r>
        <w:rPr>
          <w:iCs/>
          <w:i/>
        </w:rPr>
        <w:t xml:space="preserve">Annual Market Report and Regulatory Guidelines.</w:t>
      </w:r>
      <w:r>
        <w:t xml:space="preserve"> </w:t>
      </w:r>
      <w:r>
        <w:t xml:space="preserve">Tehran: TSE Publications.</w:t>
      </w:r>
    </w:p>
    <w:p>
      <w:pPr>
        <w:pStyle w:val="BodyText"/>
      </w:pPr>
      <w:r>
        <w:t xml:space="preserve">As the official governing body, the TSE’s annual report is the definitive source for regulatory changes, trading volumes, and sector performance in</w:t>
      </w:r>
      <w:r>
        <w:t xml:space="preserve"> </w:t>
      </w:r>
      <w:r>
        <w:rPr>
          <w:bCs/>
          <w:b/>
        </w:rPr>
        <w:t xml:space="preserve">Tehran, Iran</w:t>
      </w:r>
      <w:r>
        <w:t xml:space="preserve">. This document outlines the specific disclosure requirements for listed companies and the mechanisms for investor protection. For the</w:t>
      </w:r>
      <w:r>
        <w:t xml:space="preserve"> </w:t>
      </w:r>
      <w:r>
        <w:rPr>
          <w:bCs/>
          <w:b/>
        </w:rPr>
        <w:t xml:space="preserve">Financial Analyst</w:t>
      </w:r>
      <w:r>
        <w:t xml:space="preserve"> </w:t>
      </w:r>
      <w:r>
        <w:t xml:space="preserve">in</w:t>
      </w:r>
      <w:r>
        <w:t xml:space="preserve"> </w:t>
      </w:r>
      <w:r>
        <w:rPr>
          <w:bCs/>
          <w:b/>
        </w:rPr>
        <w:t xml:space="preserve">Tehran</w:t>
      </w:r>
      <w:r>
        <w:t xml:space="preserve">, staying updated with these guidelines is mandatory for compliance. The report also provides detailed statistics on foreign investment flows and the performance of key sectors such as petrochemicals, banking, and mining. It serves as a practical handbook for navigating the bureaucratic landscape of the Iranian financial market, ensuring that all analytical work adheres to local legal standards.</w:t>
      </w:r>
    </w:p>
    <w:p>
      <w:pPr>
        <w:pStyle w:val="BodyText"/>
      </w:pPr>
      <w:r>
        <w:t xml:space="preserve">World Bank. (2022).</w:t>
      </w:r>
      <w:r>
        <w:t xml:space="preserve"> </w:t>
      </w:r>
      <w:r>
        <w:rPr>
          <w:iCs/>
          <w:i/>
        </w:rPr>
        <w:t xml:space="preserve">Iran Economic Monitor: Navigating Uncertainty.</w:t>
      </w:r>
      <w:r>
        <w:t xml:space="preserve"> </w:t>
      </w:r>
      <w:r>
        <w:t xml:space="preserve">Washington, D.C.: The World Bank Group.</w:t>
      </w:r>
    </w:p>
    <w:p>
      <w:pPr>
        <w:pStyle w:val="BodyText"/>
      </w:pPr>
      <w:r>
        <w:t xml:space="preserve">This publication offers a comparative analysis of Iran’s economic performance relative to other emerging markets. It focuses on the structural reforms needed to stabilize the economy and attract investment. For the</w:t>
      </w:r>
      <w:r>
        <w:t xml:space="preserve"> </w:t>
      </w:r>
      <w:r>
        <w:rPr>
          <w:bCs/>
          <w:b/>
        </w:rPr>
        <w:t xml:space="preserve">Financial Analyst</w:t>
      </w:r>
      <w:r>
        <w:t xml:space="preserve"> </w:t>
      </w:r>
      <w:r>
        <w:t xml:space="preserve">in</w:t>
      </w:r>
      <w:r>
        <w:t xml:space="preserve"> </w:t>
      </w:r>
      <w:r>
        <w:rPr>
          <w:bCs/>
          <w:b/>
        </w:rPr>
        <w:t xml:space="preserve">Tehran, Iran</w:t>
      </w:r>
      <w:r>
        <w:t xml:space="preserve">, this report provides a long-term perspective on potential economic shifts. It discusses the impact of currency controls on business operations and the challenges of integrating into the global supply chain. The World Bank’s data is particularly useful for analysts advising multinational corporations or large domestic conglomerates on strategic planning. It helps contextualize local challenges within a global framework, aiding in the development of forward-looking financial strategies.</w:t>
      </w:r>
    </w:p>
    <w:p>
      <w:pPr>
        <w:pStyle w:val="BodyText"/>
      </w:pPr>
      <w:r>
        <w:t xml:space="preserve">Zarei, H., &amp; Ahmadi, R. (2021).</w:t>
      </w:r>
      <w:r>
        <w:t xml:space="preserve"> </w:t>
      </w:r>
      <w:r>
        <w:rPr>
          <w:iCs/>
          <w:i/>
        </w:rPr>
        <w:t xml:space="preserve">Risk Management in Iranian Banking Sector: Challenges and Opportunities.</w:t>
      </w:r>
      <w:r>
        <w:t xml:space="preserve"> </w:t>
      </w:r>
      <w:r>
        <w:t xml:space="preserve">Journal of Financial Stability, 54, 100-118.</w:t>
      </w:r>
    </w:p>
    <w:p>
      <w:pPr>
        <w:pStyle w:val="BodyText"/>
      </w:pPr>
      <w:r>
        <w:t xml:space="preserve">This article delves into the specific risk management practices required in the Iranian banking sector, which is heavily influenced by state policy and sanctions. It highlights the high levels of non-performing loans and the liquidity crises that frequently affect banks in</w:t>
      </w:r>
      <w:r>
        <w:t xml:space="preserve"> </w:t>
      </w:r>
      <w:r>
        <w:rPr>
          <w:bCs/>
          <w:b/>
        </w:rPr>
        <w:t xml:space="preserve">Tehran, Iran</w:t>
      </w:r>
      <w:r>
        <w:t xml:space="preserve">. For the</w:t>
      </w:r>
      <w:r>
        <w:t xml:space="preserve"> </w:t>
      </w:r>
      <w:r>
        <w:rPr>
          <w:bCs/>
          <w:b/>
        </w:rPr>
        <w:t xml:space="preserve">Financial Analyst</w:t>
      </w:r>
      <w:r>
        <w:t xml:space="preserve"> </w:t>
      </w:r>
      <w:r>
        <w:t xml:space="preserve">specializing in banking or credit analysis, this source is essential. It outlines methods for assessing credit risk in an environment where collateral values are volatile and legal recourse is slow. The authors propose innovative risk mitigation strategies tailored to the Iranian context, providing analysts with practical tools to evaluate the solvency and stability of financial institutions in</w:t>
      </w:r>
      <w:r>
        <w:t xml:space="preserve"> </w:t>
      </w:r>
      <w:r>
        <w:rPr>
          <w:bCs/>
          <w:b/>
        </w:rPr>
        <w:t xml:space="preserve">Tehran</w:t>
      </w:r>
      <w:r>
        <w:t xml:space="preserve">.</w:t>
      </w:r>
    </w:p>
    <w:bookmarkEnd w:id="23"/>
    <w:p>
      <w:pPr>
        <w:pStyle w:val="BodyText"/>
      </w:pPr>
      <w:r>
        <w:t xml:space="preserve">Document generated for educational and professional reference purposes regarding the Financial Analyst profession in Tehran, Iran.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Financial Analyst in Tehran, Iran</dc:title>
  <dc:creator/>
  <dc:language>en</dc:language>
  <cp:keywords/>
  <dcterms:created xsi:type="dcterms:W3CDTF">2026-08-07T05:46:59Z</dcterms:created>
  <dcterms:modified xsi:type="dcterms:W3CDTF">2026-08-07T05:46:59Z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