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Iraq</w:t>
      </w:r>
      <w:r>
        <w:t xml:space="preserve"> </w:t>
      </w:r>
      <w:r>
        <w:t xml:space="preserve">(Baghdad)</w:t>
      </w:r>
    </w:p>
    <w:bookmarkStart w:id="20" w:name="annotated-bibliography"/>
    <w:p>
      <w:pPr>
        <w:pStyle w:val="Heading1"/>
      </w:pPr>
      <w:r>
        <w:t xml:space="preserve">Annotated Bibliography</w:t>
      </w:r>
    </w:p>
    <w:p>
      <w:pPr>
        <w:pStyle w:val="FirstParagraph"/>
      </w:pPr>
      <w:r>
        <w:t xml:space="preserve">Topic: The Evolving Role of the Financial Analyst in Iraq (Baghdad)</w:t>
      </w:r>
    </w:p>
    <w:bookmarkEnd w:id="20"/>
    <w:p>
      <w:pPr>
        <w:pStyle w:val="BodyText"/>
      </w:pPr>
      <w:r>
        <w:t xml:space="preserve">This annotated bibliography compiles essential literature regarding the profession of the</w:t>
      </w:r>
      <w:r>
        <w:t xml:space="preserve"> </w:t>
      </w:r>
      <w:r>
        <w:rPr>
          <w:bCs/>
          <w:b/>
        </w:rPr>
        <w:t xml:space="preserve">Financial Analyst</w:t>
      </w:r>
      <w:r>
        <w:t xml:space="preserve"> </w:t>
      </w:r>
      <w:r>
        <w:t xml:space="preserve">within the specific economic and regulatory context of</w:t>
      </w:r>
      <w:r>
        <w:t xml:space="preserve"> </w:t>
      </w:r>
      <w:r>
        <w:rPr>
          <w:bCs/>
          <w:b/>
        </w:rPr>
        <w:t xml:space="preserve">Iraq</w:t>
      </w:r>
      <w:r>
        <w:t xml:space="preserve">, with a primary focus on the capital city,</w:t>
      </w:r>
      <w:r>
        <w:t xml:space="preserve"> </w:t>
      </w:r>
      <w:r>
        <w:rPr>
          <w:bCs/>
          <w:b/>
        </w:rPr>
        <w:t xml:space="preserve">Baghdad</w:t>
      </w:r>
      <w:r>
        <w:t xml:space="preserve">. As Iraq transitions from a war-torn economy to a developing market, the demand for rigorous financial analysis, risk assessment, and strategic planning in Baghdad has surged. The following sources provide a comprehensive overview of the regulatory frameworks, market dynamics, and professional standards required for financial analysts operating in this unique environment.</w:t>
      </w:r>
    </w:p>
    <w:bookmarkStart w:id="21" w:name="regulatory-frameworks-and-governance"/>
    <w:p>
      <w:pPr>
        <w:pStyle w:val="Heading2"/>
      </w:pPr>
      <w:r>
        <w:t xml:space="preserve">Regulatory Frameworks and Governance</w:t>
      </w:r>
    </w:p>
    <w:p>
      <w:pPr>
        <w:pStyle w:val="FirstParagraph"/>
      </w:pPr>
      <w:r>
        <w:t xml:space="preserve">Capital Markets Authority (CMA) of Iraq. (2023).</w:t>
      </w:r>
      <w:r>
        <w:t xml:space="preserve"> </w:t>
      </w:r>
      <w:r>
        <w:rPr>
          <w:iCs/>
          <w:i/>
        </w:rPr>
        <w:t xml:space="preserve">Regulations Governing the Capital Market and Financial Reporting Standards</w:t>
      </w:r>
      <w:r>
        <w:t xml:space="preserve">. Baghdad: CMA Publications.</w:t>
      </w:r>
    </w:p>
    <w:p>
      <w:pPr>
        <w:pStyle w:val="BodyText"/>
      </w:pPr>
      <w:r>
        <w:t xml:space="preserve">This primary source is indispensable for any</w:t>
      </w:r>
      <w:r>
        <w:t xml:space="preserve"> </w:t>
      </w:r>
      <w:r>
        <w:rPr>
          <w:bCs/>
          <w:b/>
        </w:rPr>
        <w:t xml:space="preserve">Financial Analyst</w:t>
      </w:r>
      <w:r>
        <w:t xml:space="preserve"> </w:t>
      </w:r>
      <w:r>
        <w:t xml:space="preserve">working in</w:t>
      </w:r>
      <w:r>
        <w:t xml:space="preserve"> </w:t>
      </w:r>
      <w:r>
        <w:rPr>
          <w:bCs/>
          <w:b/>
        </w:rPr>
        <w:t xml:space="preserve">Baghdad</w:t>
      </w:r>
      <w:r>
        <w:t xml:space="preserve">. It outlines the legal obligations for public companies listed on the Iraq Stock Exchange (ISX). The document details the mandatory disclosure requirements, auditing standards, and corporate governance codes that analysts must scrutinize when evaluating investment opportunities. For professionals in</w:t>
      </w:r>
      <w:r>
        <w:t xml:space="preserve"> </w:t>
      </w:r>
      <w:r>
        <w:rPr>
          <w:bCs/>
          <w:b/>
        </w:rPr>
        <w:t xml:space="preserve">Iraq</w:t>
      </w:r>
      <w:r>
        <w:t xml:space="preserve">, understanding these specific regulations is critical, as they differ significantly from international norms like IFRS in certain transitional areas. This text serves as the foundational legal reference for compliance analysis.</w:t>
      </w:r>
    </w:p>
    <w:p>
      <w:pPr>
        <w:pStyle w:val="BodyText"/>
      </w:pPr>
      <w:r>
        <w:t xml:space="preserve">Al-Mashhadani, Y. (2021).</w:t>
      </w:r>
      <w:r>
        <w:t xml:space="preserve"> </w:t>
      </w:r>
      <w:r>
        <w:rPr>
          <w:iCs/>
          <w:i/>
        </w:rPr>
        <w:t xml:space="preserve">Corporate Governance and Financial Performance in Iraqi Banks</w:t>
      </w:r>
      <w:r>
        <w:t xml:space="preserve">. Journal of Middle Eastern Finance, 14(2), 45-62.</w:t>
      </w:r>
    </w:p>
    <w:p>
      <w:pPr>
        <w:pStyle w:val="BodyText"/>
      </w:pPr>
      <w:r>
        <w:t xml:space="preserve">This academic article provides a critical analysis of the banking sector in</w:t>
      </w:r>
      <w:r>
        <w:t xml:space="preserve"> </w:t>
      </w:r>
      <w:r>
        <w:rPr>
          <w:bCs/>
          <w:b/>
        </w:rPr>
        <w:t xml:space="preserve">Iraq</w:t>
      </w:r>
      <w:r>
        <w:t xml:space="preserve">, which is heavily concentrated in</w:t>
      </w:r>
      <w:r>
        <w:t xml:space="preserve"> </w:t>
      </w:r>
      <w:r>
        <w:rPr>
          <w:bCs/>
          <w:b/>
        </w:rPr>
        <w:t xml:space="preserve">Baghdad</w:t>
      </w:r>
      <w:r>
        <w:t xml:space="preserve">. The author examines how governance structures impact financial stability. For a</w:t>
      </w:r>
      <w:r>
        <w:t xml:space="preserve"> </w:t>
      </w:r>
      <w:r>
        <w:rPr>
          <w:bCs/>
          <w:b/>
        </w:rPr>
        <w:t xml:space="preserve">Financial Analyst</w:t>
      </w:r>
      <w:r>
        <w:t xml:space="preserve">, this study offers empirical data on the risks associated with state-owned versus private banks in the region. It highlights the importance of analyzing non-financial indicators, such as board independence and transparency, which are crucial factors when assessing the viability of financial institutions in the Iraqi market.</w:t>
      </w:r>
    </w:p>
    <w:bookmarkEnd w:id="21"/>
    <w:bookmarkStart w:id="22" w:name="macroeconomic-context-and-oil-dependency"/>
    <w:p>
      <w:pPr>
        <w:pStyle w:val="Heading2"/>
      </w:pPr>
      <w:r>
        <w:t xml:space="preserve">Macroeconomic Context and Oil Dependency</w:t>
      </w:r>
    </w:p>
    <w:p>
      <w:pPr>
        <w:pStyle w:val="FirstParagraph"/>
      </w:pPr>
      <w:r>
        <w:t xml:space="preserve">International Monetary Fund (IMF). (2023).</w:t>
      </w:r>
      <w:r>
        <w:t xml:space="preserve"> </w:t>
      </w:r>
      <w:r>
        <w:rPr>
          <w:iCs/>
          <w:i/>
        </w:rPr>
        <w:t xml:space="preserve">Iraq: Article IV Consultation—Staff Report</w:t>
      </w:r>
      <w:r>
        <w:t xml:space="preserve">. Washington, D.C.: IMF.</w:t>
      </w:r>
    </w:p>
    <w:p>
      <w:pPr>
        <w:pStyle w:val="BodyText"/>
      </w:pPr>
      <w:r>
        <w:t xml:space="preserve">This report is a vital resource for macroeconomic analysis. It provides a detailed assessment of</w:t>
      </w:r>
      <w:r>
        <w:t xml:space="preserve"> </w:t>
      </w:r>
      <w:r>
        <w:rPr>
          <w:bCs/>
          <w:b/>
        </w:rPr>
        <w:t xml:space="preserve">Iraq</w:t>
      </w:r>
      <w:r>
        <w:t xml:space="preserve">'s fiscal policy, public debt, and oil revenue management. Since the economy of</w:t>
      </w:r>
      <w:r>
        <w:t xml:space="preserve"> </w:t>
      </w:r>
      <w:r>
        <w:rPr>
          <w:bCs/>
          <w:b/>
        </w:rPr>
        <w:t xml:space="preserve">Baghdad</w:t>
      </w:r>
      <w:r>
        <w:t xml:space="preserve"> </w:t>
      </w:r>
      <w:r>
        <w:t xml:space="preserve">is intrinsically linked to national oil revenues, a</w:t>
      </w:r>
      <w:r>
        <w:t xml:space="preserve"> </w:t>
      </w:r>
      <w:r>
        <w:rPr>
          <w:bCs/>
          <w:b/>
        </w:rPr>
        <w:t xml:space="preserve">Financial Analyst</w:t>
      </w:r>
      <w:r>
        <w:t xml:space="preserve"> </w:t>
      </w:r>
      <w:r>
        <w:t xml:space="preserve">must utilize this data to forecast currency fluctuations (IQD vs. USD) and inflation trends. The report offers objective projections that help analysts model scenarios for economic growth and contraction, which are essential for advising clients on long-term investments in the Iraqi capital.</w:t>
      </w:r>
    </w:p>
    <w:p>
      <w:pPr>
        <w:pStyle w:val="BodyText"/>
      </w:pPr>
      <w:r>
        <w:t xml:space="preserve">World Bank. (2022).</w:t>
      </w:r>
      <w:r>
        <w:t xml:space="preserve"> </w:t>
      </w:r>
      <w:r>
        <w:rPr>
          <w:iCs/>
          <w:i/>
        </w:rPr>
        <w:t xml:space="preserve">Iraq Economic Monitor: Navigating Uncertainty</w:t>
      </w:r>
      <w:r>
        <w:t xml:space="preserve">. Washington, D.C.: World Bank Group.</w:t>
      </w:r>
    </w:p>
    <w:p>
      <w:pPr>
        <w:pStyle w:val="BodyText"/>
      </w:pPr>
      <w:r>
        <w:t xml:space="preserve">This publication focuses on the structural challenges facing</w:t>
      </w:r>
      <w:r>
        <w:t xml:space="preserve"> </w:t>
      </w:r>
      <w:r>
        <w:rPr>
          <w:bCs/>
          <w:b/>
        </w:rPr>
        <w:t xml:space="preserve">Iraq</w:t>
      </w:r>
      <w:r>
        <w:t xml:space="preserve">, including the need for economic diversification away from oil. For a</w:t>
      </w:r>
      <w:r>
        <w:t xml:space="preserve"> </w:t>
      </w:r>
      <w:r>
        <w:rPr>
          <w:bCs/>
          <w:b/>
        </w:rPr>
        <w:t xml:space="preserve">Financial Analyst</w:t>
      </w:r>
      <w:r>
        <w:t xml:space="preserve"> </w:t>
      </w:r>
      <w:r>
        <w:t xml:space="preserve">in</w:t>
      </w:r>
      <w:r>
        <w:t xml:space="preserve"> </w:t>
      </w:r>
      <w:r>
        <w:rPr>
          <w:bCs/>
          <w:b/>
        </w:rPr>
        <w:t xml:space="preserve">Baghdad</w:t>
      </w:r>
      <w:r>
        <w:t xml:space="preserve">, this document is key to identifying emerging sectors such as telecommunications, construction, and renewable energy. It provides data on foreign direct investment (FDI) flows and the business climate, enabling analysts to spot growth opportunities beyond the traditional banking and oil sectors. It is particularly useful for risk assessment regarding political stability and infrastructure development.</w:t>
      </w:r>
    </w:p>
    <w:bookmarkEnd w:id="22"/>
    <w:bookmarkStart w:id="23" w:name="Xb69e347297f114b98264486592890962c4f5ab2"/>
    <w:p>
      <w:pPr>
        <w:pStyle w:val="Heading2"/>
      </w:pPr>
      <w:r>
        <w:t xml:space="preserve">Professional Standards and Market Dynamics</w:t>
      </w:r>
    </w:p>
    <w:p>
      <w:pPr>
        <w:pStyle w:val="FirstParagraph"/>
      </w:pPr>
      <w:r>
        <w:t xml:space="preserve">CFA Institute. (2023).</w:t>
      </w:r>
      <w:r>
        <w:t xml:space="preserve"> </w:t>
      </w:r>
      <w:r>
        <w:rPr>
          <w:iCs/>
          <w:i/>
        </w:rPr>
        <w:t xml:space="preserve">Global Investment Performance Standards (GIPS) and Ethical Guidelines</w:t>
      </w:r>
      <w:r>
        <w:t xml:space="preserve">. Charlottesville, VA: CFA Institute.</w:t>
      </w:r>
    </w:p>
    <w:p>
      <w:pPr>
        <w:pStyle w:val="BodyText"/>
      </w:pPr>
      <w:r>
        <w:t xml:space="preserve">While a global standard, this text is increasingly relevant for</w:t>
      </w:r>
      <w:r>
        <w:t xml:space="preserve"> </w:t>
      </w:r>
      <w:r>
        <w:rPr>
          <w:bCs/>
          <w:b/>
        </w:rPr>
        <w:t xml:space="preserve">Financial Analysts</w:t>
      </w:r>
      <w:r>
        <w:t xml:space="preserve"> </w:t>
      </w:r>
      <w:r>
        <w:t xml:space="preserve">in</w:t>
      </w:r>
      <w:r>
        <w:t xml:space="preserve"> </w:t>
      </w:r>
      <w:r>
        <w:rPr>
          <w:bCs/>
          <w:b/>
        </w:rPr>
        <w:t xml:space="preserve">Baghdad</w:t>
      </w:r>
      <w:r>
        <w:t xml:space="preserve"> </w:t>
      </w:r>
      <w:r>
        <w:t xml:space="preserve">as the local market seeks international integration. As Iraqi firms strive to attract foreign capital, adherence to global ethical standards and performance reporting becomes a competitive advantage. This source guides analysts on how to maintain integrity, avoid conflicts of interest, and present data transparently. It is essential for professionals aiming to bridge the gap between local Iraqi practices and global financial expectations.</w:t>
      </w:r>
    </w:p>
    <w:p>
      <w:pPr>
        <w:pStyle w:val="BodyText"/>
      </w:pPr>
      <w:r>
        <w:t xml:space="preserve">Al-Sultany, K. (2020).</w:t>
      </w:r>
      <w:r>
        <w:t xml:space="preserve"> </w:t>
      </w:r>
      <w:r>
        <w:rPr>
          <w:iCs/>
          <w:i/>
        </w:rPr>
        <w:t xml:space="preserve">The Iraq Stock Exchange: Liquidity, Volatility, and Investor Behavior</w:t>
      </w:r>
      <w:r>
        <w:t xml:space="preserve">. Baghdad Economic Review, 8(1), 112-129.</w:t>
      </w:r>
    </w:p>
    <w:p>
      <w:pPr>
        <w:pStyle w:val="BodyText"/>
      </w:pPr>
      <w:r>
        <w:t xml:space="preserve">This study offers a localized perspective on the behavior of the Iraq Stock Exchange (ISX) in</w:t>
      </w:r>
      <w:r>
        <w:t xml:space="preserve"> </w:t>
      </w:r>
      <w:r>
        <w:rPr>
          <w:bCs/>
          <w:b/>
        </w:rPr>
        <w:t xml:space="preserve">Baghdad</w:t>
      </w:r>
      <w:r>
        <w:t xml:space="preserve">. It analyzes trading volumes, market liquidity, and the psychological factors influencing local investors. For a</w:t>
      </w:r>
      <w:r>
        <w:t xml:space="preserve"> </w:t>
      </w:r>
      <w:r>
        <w:rPr>
          <w:bCs/>
          <w:b/>
        </w:rPr>
        <w:t xml:space="preserve">Financial Analyst</w:t>
      </w:r>
      <w:r>
        <w:t xml:space="preserve">, this is a practical guide to understanding market sentiment in</w:t>
      </w:r>
      <w:r>
        <w:t xml:space="preserve"> </w:t>
      </w:r>
      <w:r>
        <w:rPr>
          <w:bCs/>
          <w:b/>
        </w:rPr>
        <w:t xml:space="preserve">Iraq</w:t>
      </w:r>
      <w:r>
        <w:t xml:space="preserve">. It helps in developing trading strategies that account for the unique volatility and lower liquidity often found in emerging markets, providing a nuanced view that global reports might overlook.</w:t>
      </w:r>
    </w:p>
    <w:p>
      <w:pPr>
        <w:pStyle w:val="BodyText"/>
      </w:pPr>
      <w:r>
        <w:t xml:space="preserve">Central Bank of Iraq (CBI). (2023).</w:t>
      </w:r>
      <w:r>
        <w:t xml:space="preserve"> </w:t>
      </w:r>
      <w:r>
        <w:rPr>
          <w:iCs/>
          <w:i/>
        </w:rPr>
        <w:t xml:space="preserve">Annual Report on Monetary Policy and Banking Sector Stability</w:t>
      </w:r>
      <w:r>
        <w:t xml:space="preserve">. Baghdad: CBI.</w:t>
      </w:r>
    </w:p>
    <w:p>
      <w:pPr>
        <w:pStyle w:val="BodyText"/>
      </w:pPr>
      <w:r>
        <w:t xml:space="preserve">This official report is crucial for understanding the monetary environment in</w:t>
      </w:r>
      <w:r>
        <w:t xml:space="preserve"> </w:t>
      </w:r>
      <w:r>
        <w:rPr>
          <w:bCs/>
          <w:b/>
        </w:rPr>
        <w:t xml:space="preserve">Iraq</w:t>
      </w:r>
      <w:r>
        <w:t xml:space="preserve">. It details interest rates, credit expansion, and foreign exchange reserves managed by the Central Bank in</w:t>
      </w:r>
      <w:r>
        <w:t xml:space="preserve"> </w:t>
      </w:r>
      <w:r>
        <w:rPr>
          <w:bCs/>
          <w:b/>
        </w:rPr>
        <w:t xml:space="preserve">Baghdad</w:t>
      </w:r>
      <w:r>
        <w:t xml:space="preserve">. A</w:t>
      </w:r>
      <w:r>
        <w:t xml:space="preserve"> </w:t>
      </w:r>
      <w:r>
        <w:rPr>
          <w:bCs/>
          <w:b/>
        </w:rPr>
        <w:t xml:space="preserve">Financial Analyst</w:t>
      </w:r>
      <w:r>
        <w:t xml:space="preserve"> </w:t>
      </w:r>
      <w:r>
        <w:t xml:space="preserve">relies on this data to assess the cost of capital and the health of the banking system. It is particularly important for analyzing the impact of government spending on inflation and the stability of the Iraqi Dinar, which directly affects the purchasing power and investment returns for stakeholders in the capital.</w:t>
      </w:r>
    </w:p>
    <w:p>
      <w:pPr>
        <w:pStyle w:val="BodyText"/>
      </w:pPr>
      <w:r>
        <w:t xml:space="preserve">Khasawneh, F. (2022).</w:t>
      </w:r>
      <w:r>
        <w:t xml:space="preserve"> </w:t>
      </w:r>
      <w:r>
        <w:rPr>
          <w:iCs/>
          <w:i/>
        </w:rPr>
        <w:t xml:space="preserve">Financial Risk Management in Emerging Markets: A Case Study of Iraq</w:t>
      </w:r>
      <w:r>
        <w:t xml:space="preserve">. Journal of Risk and Financial Management, 15(4), 180.</w:t>
      </w:r>
    </w:p>
    <w:p>
      <w:pPr>
        <w:pStyle w:val="BodyText"/>
      </w:pPr>
      <w:r>
        <w:t xml:space="preserve">This article addresses the specific risks faced by financial institutions and analysts in</w:t>
      </w:r>
      <w:r>
        <w:t xml:space="preserve"> </w:t>
      </w:r>
      <w:r>
        <w:rPr>
          <w:bCs/>
          <w:b/>
        </w:rPr>
        <w:t xml:space="preserve">Iraq</w:t>
      </w:r>
      <w:r>
        <w:t xml:space="preserve">. It covers credit risk, market risk, and operational risk within the context of a developing economy. For a</w:t>
      </w:r>
      <w:r>
        <w:t xml:space="preserve"> </w:t>
      </w:r>
      <w:r>
        <w:rPr>
          <w:bCs/>
          <w:b/>
        </w:rPr>
        <w:t xml:space="preserve">Financial Analyst</w:t>
      </w:r>
      <w:r>
        <w:t xml:space="preserve"> </w:t>
      </w:r>
      <w:r>
        <w:t xml:space="preserve">operating in</w:t>
      </w:r>
      <w:r>
        <w:t xml:space="preserve"> </w:t>
      </w:r>
      <w:r>
        <w:rPr>
          <w:bCs/>
          <w:b/>
        </w:rPr>
        <w:t xml:space="preserve">Baghdad</w:t>
      </w:r>
      <w:r>
        <w:t xml:space="preserve">, this text provides frameworks for stress testing portfolios and evaluating the creditworthiness of borrowers in a volatile environment. It emphasizes the need for robust risk management protocols that are tailored to the socio-economic realities of</w:t>
      </w:r>
      <w:r>
        <w:t xml:space="preserve"> </w:t>
      </w:r>
      <w:r>
        <w:rPr>
          <w:bCs/>
          <w:b/>
        </w:rPr>
        <w:t xml:space="preserve">Iraq</w:t>
      </w:r>
      <w:r>
        <w:t xml:space="preserve">.</w:t>
      </w:r>
    </w:p>
    <w:p>
      <w:pPr>
        <w:pStyle w:val="BodyText"/>
      </w:pPr>
      <w:r>
        <w:t xml:space="preserve">Document generated for educational and professional reference purposes regarding Financial Analysis in Iraq.</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Financial Analyst in Iraq (Baghdad)</dc:title>
  <dc:creator/>
  <dc:language>en</dc:language>
  <cp:keywords/>
  <dcterms:created xsi:type="dcterms:W3CDTF">2026-08-07T02:14:38Z</dcterms:created>
  <dcterms:modified xsi:type="dcterms:W3CDTF">2026-08-07T02:14:38Z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