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Roles</w:t>
      </w:r>
      <w:r>
        <w:t xml:space="preserve"> </w:t>
      </w:r>
      <w:r>
        <w:t xml:space="preserve">in</w:t>
      </w:r>
      <w:r>
        <w:t xml:space="preserve"> </w:t>
      </w:r>
      <w:r>
        <w:t xml:space="preserve">Kuwait</w:t>
      </w:r>
      <w:r>
        <w:t xml:space="preserve"> </w:t>
      </w:r>
      <w:r>
        <w:t xml:space="preserve">City</w:t>
      </w:r>
    </w:p>
    <w:bookmarkStart w:id="20" w:name="Xb7dec1612e6959e0cee49dda52b4f5c0ca30053"/>
    <w:p>
      <w:pPr>
        <w:pStyle w:val="Heading1"/>
      </w:pPr>
      <w:r>
        <w:t xml:space="preserve">Annotated Bibliography: The Financial Analyst in Kuwait City</w:t>
      </w:r>
    </w:p>
    <w:p>
      <w:pPr>
        <w:pStyle w:val="FirstParagraph"/>
      </w:pPr>
      <w:r>
        <w:t xml:space="preserve">A curated collection of resources regarding financial analysis, regulatory frameworks, and economic trends specific to the capital of Kuwait.</w:t>
      </w:r>
    </w:p>
    <w:bookmarkEnd w:id="20"/>
    <w:p>
      <w:pPr>
        <w:pStyle w:val="BodyText"/>
      </w:pPr>
      <w:r>
        <w:t xml:space="preserve">The role of the</w:t>
      </w:r>
      <w:r>
        <w:t xml:space="preserve"> </w:t>
      </w:r>
      <w:r>
        <w:rPr>
          <w:bCs/>
          <w:b/>
        </w:rPr>
        <w:t xml:space="preserve">Financial Analyst</w:t>
      </w:r>
      <w:r>
        <w:t xml:space="preserve"> </w:t>
      </w:r>
      <w:r>
        <w:t xml:space="preserve">within</w:t>
      </w:r>
      <w:r>
        <w:t xml:space="preserve"> </w:t>
      </w:r>
      <w:r>
        <w:rPr>
          <w:bCs/>
          <w:b/>
        </w:rPr>
        <w:t xml:space="preserve">Kuwait City</w:t>
      </w:r>
      <w:r>
        <w:t xml:space="preserve"> </w:t>
      </w:r>
      <w:r>
        <w:t xml:space="preserve">is distinct due to the nation's unique economic structure, which relies heavily on oil revenues while simultaneously pursuing aggressive diversification strategies through Vision 2035. This annotated bibliography compiles essential literature, regulatory documents, and market reports that define the professional landscape for financial professionals operating in the Kuwaiti capital. These resources cover the regulatory environment established by the Capital Markets Authority (CMA), the operational dynamics of the Kuwait Stock Exchange (Boursa Kuwait), and the evolving requirements for corporate governance and financial reporting in the region.</w:t>
      </w:r>
    </w:p>
    <w:bookmarkStart w:id="24" w:name="X7230c12dccf60a75ff4faf895bc8aa973db822b"/>
    <w:p>
      <w:pPr>
        <w:pStyle w:val="Heading2"/>
      </w:pPr>
      <w:r>
        <w:t xml:space="preserve">Regulatory Frameworks and Market Structure</w:t>
      </w:r>
    </w:p>
    <w:bookmarkStart w:id="21" w:name="X0e3f5db45362a5ead6031f243ac8d0a40d0c0d4"/>
    <w:p>
      <w:pPr>
        <w:pStyle w:val="Heading3"/>
      </w:pPr>
      <w:r>
        <w:t xml:space="preserve">1. The Capital Markets Authority (CMA) of Kuwait</w:t>
      </w:r>
    </w:p>
    <w:p>
      <w:pPr>
        <w:pStyle w:val="FirstParagraph"/>
      </w:pPr>
      <w:r>
        <w:t xml:space="preserve">Capital Markets Authority. (2023).</w:t>
      </w:r>
      <w:r>
        <w:t xml:space="preserve"> </w:t>
      </w:r>
      <w:r>
        <w:rPr>
          <w:iCs/>
          <w:i/>
        </w:rPr>
        <w:t xml:space="preserve">Regulations and Guidelines for Listed Companies</w:t>
      </w:r>
      <w:r>
        <w:t xml:space="preserve">. Kuwait City: CMA Publications.</w:t>
      </w:r>
    </w:p>
    <w:p>
      <w:pPr>
        <w:pStyle w:val="BodyText"/>
      </w:pPr>
      <w:r>
        <w:t xml:space="preserve">This foundational document outlines the legal obligations for financial reporting and disclosure within Kuwait City. For a</w:t>
      </w:r>
      <w:r>
        <w:t xml:space="preserve"> </w:t>
      </w:r>
      <w:r>
        <w:rPr>
          <w:bCs/>
          <w:b/>
        </w:rPr>
        <w:t xml:space="preserve">Financial Analyst</w:t>
      </w:r>
      <w:r>
        <w:t xml:space="preserve">, this text is critical for understanding the compliance standards required by the CMA. It details the specific requirements for quarterly and annual financial statements, ensuring that analysts can accurately assess the transparency and reliability of data provided by local entities. The document is essential for navigating the regulatory landscape of the Kuwaiti capital.</w:t>
      </w:r>
    </w:p>
    <w:bookmarkEnd w:id="21"/>
    <w:bookmarkStart w:id="22" w:name="boursa-kuwait-market-overview"/>
    <w:p>
      <w:pPr>
        <w:pStyle w:val="Heading3"/>
      </w:pPr>
      <w:r>
        <w:t xml:space="preserve">2. Boursa Kuwait Market Overview</w:t>
      </w:r>
    </w:p>
    <w:p>
      <w:pPr>
        <w:pStyle w:val="FirstParagraph"/>
      </w:pPr>
      <w:r>
        <w:t xml:space="preserve">Boursa Kuwait. (2023).</w:t>
      </w:r>
      <w:r>
        <w:t xml:space="preserve"> </w:t>
      </w:r>
      <w:r>
        <w:rPr>
          <w:iCs/>
          <w:i/>
        </w:rPr>
        <w:t xml:space="preserve">Annual Market Report: Trading Activity and Sector Performance</w:t>
      </w:r>
      <w:r>
        <w:t xml:space="preserve">. Kuwait City: Boursa Kuwait.</w:t>
      </w:r>
    </w:p>
    <w:p>
      <w:pPr>
        <w:pStyle w:val="BodyText"/>
      </w:pPr>
      <w:r>
        <w:t xml:space="preserve">As the primary stock exchange in</w:t>
      </w:r>
      <w:r>
        <w:t xml:space="preserve"> </w:t>
      </w:r>
      <w:r>
        <w:rPr>
          <w:bCs/>
          <w:b/>
        </w:rPr>
        <w:t xml:space="preserve">Kuwait City</w:t>
      </w:r>
      <w:r>
        <w:t xml:space="preserve">, Boursa Kuwait provides the raw data necessary for equity research. This annual report offers a comprehensive breakdown of trading volumes, market capitalization, and sector-specific performance, particularly in banking and real estate. A</w:t>
      </w:r>
      <w:r>
        <w:t xml:space="preserve"> </w:t>
      </w:r>
      <w:r>
        <w:rPr>
          <w:bCs/>
          <w:b/>
        </w:rPr>
        <w:t xml:space="preserve">Financial Analyst</w:t>
      </w:r>
      <w:r>
        <w:t xml:space="preserve"> </w:t>
      </w:r>
      <w:r>
        <w:t xml:space="preserve">in Kuwait relies on this publication to benchmark individual company performance against broader market trends in the capital, facilitating more accurate valuation models and investment recommendations.</w:t>
      </w:r>
    </w:p>
    <w:bookmarkEnd w:id="22"/>
    <w:bookmarkStart w:id="23" w:name="central-bank-of-kuwait-monetary-policy"/>
    <w:p>
      <w:pPr>
        <w:pStyle w:val="Heading3"/>
      </w:pPr>
      <w:r>
        <w:t xml:space="preserve">3. Central Bank of Kuwait Monetary Policy</w:t>
      </w:r>
    </w:p>
    <w:p>
      <w:pPr>
        <w:pStyle w:val="FirstParagraph"/>
      </w:pPr>
      <w:r>
        <w:t xml:space="preserve">Central Bank of Kuwait. (2023).</w:t>
      </w:r>
      <w:r>
        <w:t xml:space="preserve"> </w:t>
      </w:r>
      <w:r>
        <w:rPr>
          <w:iCs/>
          <w:i/>
        </w:rPr>
        <w:t xml:space="preserve">Monetary Policy Report: Exchange Rate Regime and Liquidity Conditions</w:t>
      </w:r>
      <w:r>
        <w:t xml:space="preserve">. Kuwait City: CBK.</w:t>
      </w:r>
    </w:p>
    <w:p>
      <w:pPr>
        <w:pStyle w:val="BodyText"/>
      </w:pPr>
      <w:r>
        <w:t xml:space="preserve">Given that the Kuwaiti Dinar is pegged to a basket of currencies, understanding monetary policy is vital for macroeconomic analysis. This report from the Central Bank of Kuwait explains how liquidity conditions in</w:t>
      </w:r>
      <w:r>
        <w:t xml:space="preserve"> </w:t>
      </w:r>
      <w:r>
        <w:rPr>
          <w:bCs/>
          <w:b/>
        </w:rPr>
        <w:t xml:space="preserve">Kuwait City</w:t>
      </w:r>
      <w:r>
        <w:t xml:space="preserve"> </w:t>
      </w:r>
      <w:r>
        <w:t xml:space="preserve">are managed to maintain stability. For a</w:t>
      </w:r>
      <w:r>
        <w:t xml:space="preserve"> </w:t>
      </w:r>
      <w:r>
        <w:rPr>
          <w:bCs/>
          <w:b/>
        </w:rPr>
        <w:t xml:space="preserve">Financial Analyst</w:t>
      </w:r>
      <w:r>
        <w:t xml:space="preserve">, this resource is indispensable for forecasting interest rate impacts on corporate borrowing costs and consumer spending within the local economy.</w:t>
      </w:r>
    </w:p>
    <w:bookmarkEnd w:id="23"/>
    <w:bookmarkEnd w:id="24"/>
    <w:bookmarkStart w:id="27" w:name="economic-diversification-and-vision-2035"/>
    <w:p>
      <w:pPr>
        <w:pStyle w:val="Heading2"/>
      </w:pPr>
      <w:r>
        <w:t xml:space="preserve">Economic Diversification and Vision 2035</w:t>
      </w:r>
    </w:p>
    <w:bookmarkStart w:id="25" w:name="the-new-kuwait-a-vision-for-the-future"/>
    <w:p>
      <w:pPr>
        <w:pStyle w:val="Heading3"/>
      </w:pPr>
      <w:r>
        <w:t xml:space="preserve">4. The New Kuwait: A Vision for the Future</w:t>
      </w:r>
    </w:p>
    <w:p>
      <w:pPr>
        <w:pStyle w:val="FirstParagraph"/>
      </w:pPr>
      <w:r>
        <w:t xml:space="preserve">Kuwait Ministry of Planning and Development Cooperation. (2018).</w:t>
      </w:r>
      <w:r>
        <w:t xml:space="preserve"> </w:t>
      </w:r>
      <w:r>
        <w:rPr>
          <w:iCs/>
          <w:i/>
        </w:rPr>
        <w:t xml:space="preserve">The New Kuwait: A Vision for the Future (Vision 2035)</w:t>
      </w:r>
      <w:r>
        <w:t xml:space="preserve">. Kuwait City: Government Press.</w:t>
      </w:r>
    </w:p>
    <w:p>
      <w:pPr>
        <w:pStyle w:val="BodyText"/>
      </w:pPr>
      <w:r>
        <w:t xml:space="preserve">This strategic document outlines the long-term economic goals for the nation, with a specific focus on reducing oil dependency. For a</w:t>
      </w:r>
      <w:r>
        <w:t xml:space="preserve"> </w:t>
      </w:r>
      <w:r>
        <w:rPr>
          <w:bCs/>
          <w:b/>
        </w:rPr>
        <w:t xml:space="preserve">Financial Analyst</w:t>
      </w:r>
      <w:r>
        <w:t xml:space="preserve"> </w:t>
      </w:r>
      <w:r>
        <w:t xml:space="preserve">operating in</w:t>
      </w:r>
      <w:r>
        <w:t xml:space="preserve"> </w:t>
      </w:r>
      <w:r>
        <w:rPr>
          <w:bCs/>
          <w:b/>
        </w:rPr>
        <w:t xml:space="preserve">Kuwait City</w:t>
      </w:r>
      <w:r>
        <w:t xml:space="preserve">, this text provides the roadmap for future investment opportunities in non-oil sectors such as tourism, logistics, and technology. It allows analysts to align their financial models with the government's projected infrastructure spending and regulatory changes over the coming decades.</w:t>
      </w:r>
    </w:p>
    <w:bookmarkEnd w:id="25"/>
    <w:bookmarkStart w:id="26" w:name="kuwait-investment-authority-kia-reports"/>
    <w:p>
      <w:pPr>
        <w:pStyle w:val="Heading3"/>
      </w:pPr>
      <w:r>
        <w:t xml:space="preserve">5. Kuwait Investment Authority (KIA) Reports</w:t>
      </w:r>
    </w:p>
    <w:p>
      <w:pPr>
        <w:pStyle w:val="FirstParagraph"/>
      </w:pPr>
      <w:r>
        <w:t xml:space="preserve">Kuwait Investment Authority. (2023).</w:t>
      </w:r>
      <w:r>
        <w:t xml:space="preserve"> </w:t>
      </w:r>
      <w:r>
        <w:rPr>
          <w:iCs/>
          <w:i/>
        </w:rPr>
        <w:t xml:space="preserve">Annual Report: Sovereign Wealth Fund Performance and Global Allocation</w:t>
      </w:r>
      <w:r>
        <w:t xml:space="preserve">. Kuwait City: KIA.</w:t>
      </w:r>
    </w:p>
    <w:p>
      <w:pPr>
        <w:pStyle w:val="BodyText"/>
      </w:pPr>
      <w:r>
        <w:t xml:space="preserve">The KIA is one of the world's largest sovereign wealth funds, headquartered in</w:t>
      </w:r>
      <w:r>
        <w:t xml:space="preserve"> </w:t>
      </w:r>
      <w:r>
        <w:rPr>
          <w:bCs/>
          <w:b/>
        </w:rPr>
        <w:t xml:space="preserve">Kuwait City</w:t>
      </w:r>
      <w:r>
        <w:t xml:space="preserve">. This report details the fund's global investment strategies and performance. While focused on sovereign assets, the methodologies and risk management frameworks employed by the KIA serve as a benchmark for private sector</w:t>
      </w:r>
      <w:r>
        <w:t xml:space="preserve"> </w:t>
      </w:r>
      <w:r>
        <w:rPr>
          <w:bCs/>
          <w:b/>
        </w:rPr>
        <w:t xml:space="preserve">Financial Analysts</w:t>
      </w:r>
      <w:r>
        <w:t xml:space="preserve"> </w:t>
      </w:r>
      <w:r>
        <w:t xml:space="preserve">in Kuwait, offering insights into high-level asset allocation and global market exposure relevant to the local financial ecosystem.</w:t>
      </w:r>
    </w:p>
    <w:bookmarkEnd w:id="26"/>
    <w:bookmarkEnd w:id="27"/>
    <w:bookmarkStart w:id="31" w:name="X445c023a2acb316d9804433839cc760d8a1dc5a"/>
    <w:p>
      <w:pPr>
        <w:pStyle w:val="Heading2"/>
      </w:pPr>
      <w:r>
        <w:t xml:space="preserve">Professional Standards and Corporate Governance</w:t>
      </w:r>
    </w:p>
    <w:bookmarkStart w:id="28" w:name="X03f142da3a6196b2107c0b3b1c13212c369ae03"/>
    <w:p>
      <w:pPr>
        <w:pStyle w:val="Heading3"/>
      </w:pPr>
      <w:r>
        <w:t xml:space="preserve">6. Institute of Chartered Accountants in England and Wales (ICAEW) - Middle East Context</w:t>
      </w:r>
    </w:p>
    <w:p>
      <w:pPr>
        <w:pStyle w:val="FirstParagraph"/>
      </w:pPr>
      <w:r>
        <w:t xml:space="preserve">ICAEW. (2022).</w:t>
      </w:r>
      <w:r>
        <w:t xml:space="preserve"> </w:t>
      </w:r>
      <w:r>
        <w:rPr>
          <w:iCs/>
          <w:i/>
        </w:rPr>
        <w:t xml:space="preserve">Financial Reporting Standards in the GCC: A Practical Guide</w:t>
      </w:r>
      <w:r>
        <w:t xml:space="preserve">. London: ICAEW Publishing.</w:t>
      </w:r>
    </w:p>
    <w:p>
      <w:pPr>
        <w:pStyle w:val="BodyText"/>
      </w:pPr>
      <w:r>
        <w:t xml:space="preserve">Although an international publication, this guide is highly relevant to</w:t>
      </w:r>
      <w:r>
        <w:t xml:space="preserve"> </w:t>
      </w:r>
      <w:r>
        <w:rPr>
          <w:bCs/>
          <w:b/>
        </w:rPr>
        <w:t xml:space="preserve">Kuwait City</w:t>
      </w:r>
      <w:r>
        <w:t xml:space="preserve"> </w:t>
      </w:r>
      <w:r>
        <w:t xml:space="preserve">due to the widespread adoption of International Financial Reporting Standards (IFRS) in the region. It provides a comparative analysis of how IFRS is applied in Gulf Cooperation Council (GCC) countries. A</w:t>
      </w:r>
      <w:r>
        <w:t xml:space="preserve"> </w:t>
      </w:r>
      <w:r>
        <w:rPr>
          <w:bCs/>
          <w:b/>
        </w:rPr>
        <w:t xml:space="preserve">Financial Analyst</w:t>
      </w:r>
      <w:r>
        <w:t xml:space="preserve"> </w:t>
      </w:r>
      <w:r>
        <w:t xml:space="preserve">in Kuwait uses this resource to ensure that their analysis of local financial statements aligns with global best practices, facilitating cross-border investment comparisons.</w:t>
      </w:r>
    </w:p>
    <w:bookmarkEnd w:id="28"/>
    <w:bookmarkStart w:id="29" w:name="X81701b37e11cf272071486545fe486fc8f43fa8"/>
    <w:p>
      <w:pPr>
        <w:pStyle w:val="Heading3"/>
      </w:pPr>
      <w:r>
        <w:t xml:space="preserve">7. Corporate Governance Code for Listed Companies in Kuwait</w:t>
      </w:r>
    </w:p>
    <w:p>
      <w:pPr>
        <w:pStyle w:val="FirstParagraph"/>
      </w:pPr>
      <w:r>
        <w:t xml:space="preserve">Capital Markets Authority. (2021).</w:t>
      </w:r>
      <w:r>
        <w:t xml:space="preserve"> </w:t>
      </w:r>
      <w:r>
        <w:rPr>
          <w:iCs/>
          <w:i/>
        </w:rPr>
        <w:t xml:space="preserve">Corporate Governance Code for Listed Companies</w:t>
      </w:r>
      <w:r>
        <w:t xml:space="preserve">. Kuwait City: CMA.</w:t>
      </w:r>
    </w:p>
    <w:p>
      <w:pPr>
        <w:pStyle w:val="BodyText"/>
      </w:pPr>
      <w:r>
        <w:t xml:space="preserve">This code establishes the standards for board composition, audit committees, and shareholder rights in</w:t>
      </w:r>
      <w:r>
        <w:t xml:space="preserve"> </w:t>
      </w:r>
      <w:r>
        <w:rPr>
          <w:bCs/>
          <w:b/>
        </w:rPr>
        <w:t xml:space="preserve">Kuwait City</w:t>
      </w:r>
      <w:r>
        <w:t xml:space="preserve">. For a</w:t>
      </w:r>
      <w:r>
        <w:t xml:space="preserve"> </w:t>
      </w:r>
      <w:r>
        <w:rPr>
          <w:bCs/>
          <w:b/>
        </w:rPr>
        <w:t xml:space="preserve">Financial Analyst</w:t>
      </w:r>
      <w:r>
        <w:t xml:space="preserve">, assessing corporate governance is a key component of risk analysis. This document provides the criteria necessary to evaluate the quality of management and the integrity of financial reporting within Kuwaiti listed entities, directly impacting investment decisions and credit ratings.</w:t>
      </w:r>
    </w:p>
    <w:bookmarkEnd w:id="29"/>
    <w:bookmarkStart w:id="30" w:name="X22a91d4695d58751d6e68bb4f204aaff486987f"/>
    <w:p>
      <w:pPr>
        <w:pStyle w:val="Heading3"/>
      </w:pPr>
      <w:r>
        <w:t xml:space="preserve">8. The Kuwaiti Banking Sector: Trends and Challenges</w:t>
      </w:r>
    </w:p>
    <w:p>
      <w:pPr>
        <w:pStyle w:val="FirstParagraph"/>
      </w:pPr>
      <w:r>
        <w:t xml:space="preserve">Al-Rashid, M. (2023).</w:t>
      </w:r>
      <w:r>
        <w:t xml:space="preserve"> </w:t>
      </w:r>
      <w:r>
        <w:rPr>
          <w:iCs/>
          <w:i/>
        </w:rPr>
        <w:t xml:space="preserve">Financial Stability and Banking Performance in Kuwait</w:t>
      </w:r>
      <w:r>
        <w:t xml:space="preserve">. Journal of Gulf Economics, 15(2), 45-62.</w:t>
      </w:r>
    </w:p>
    <w:p>
      <w:pPr>
        <w:pStyle w:val="BodyText"/>
      </w:pPr>
      <w:r>
        <w:t xml:space="preserve">This academic article provides a deep dive into the banking sector, which is the backbone of the financial services industry in</w:t>
      </w:r>
      <w:r>
        <w:t xml:space="preserve"> </w:t>
      </w:r>
      <w:r>
        <w:rPr>
          <w:bCs/>
          <w:b/>
        </w:rPr>
        <w:t xml:space="preserve">Kuwait City</w:t>
      </w:r>
      <w:r>
        <w:t xml:space="preserve">. It analyzes non-performing loans, capital adequacy ratios, and the impact of digital transformation on local banks. A</w:t>
      </w:r>
      <w:r>
        <w:t xml:space="preserve"> </w:t>
      </w:r>
      <w:r>
        <w:rPr>
          <w:bCs/>
          <w:b/>
        </w:rPr>
        <w:t xml:space="preserve">Financial Analyst</w:t>
      </w:r>
      <w:r>
        <w:t xml:space="preserve"> </w:t>
      </w:r>
      <w:r>
        <w:t xml:space="preserve">specializing in the financial sector will find this research invaluable for understanding the specific risks and growth drivers affecting Kuwaiti banks, which are often the primary focus of local equity portfolios.</w:t>
      </w:r>
    </w:p>
    <w:bookmarkEnd w:id="30"/>
    <w:bookmarkEnd w:id="31"/>
    <w:p>
      <w:pPr>
        <w:pStyle w:val="BodyText"/>
      </w:pPr>
      <w:r>
        <w:t xml:space="preserve">Document generated for educational and professional reference purposes regarding the Financial Analyst profession in Kuwait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Roles in Kuwait City</dc:title>
  <dc:creator/>
  <dc:language>en</dc:language>
  <cp:keywords/>
  <dcterms:created xsi:type="dcterms:W3CDTF">2026-08-07T02:14:58Z</dcterms:created>
  <dcterms:modified xsi:type="dcterms:W3CDTF">2026-08-07T02:14:58Z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