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d834de2ef5db5af98c97f72ba48823b4fd6b053"/>
    <w:p>
      <w:pPr>
        <w:pStyle w:val="Heading1"/>
      </w:pPr>
      <w:r>
        <w:t xml:space="preserve">Annotated Bibliography: The Role of the Financial Analyst in Kuala Lumpur, Malaysia</w:t>
      </w:r>
    </w:p>
    <w:p>
      <w:pPr>
        <w:pStyle w:val="FirstParagraph"/>
      </w:pPr>
      <w:r>
        <w:t xml:space="preserve">This annotated bibliography compiles key resources regarding the profession of the Financial Analyst within the specific economic and regulatory context of Kuala Lumpur, Malaysia. As the financial hub of Southeast Asia, Kuala Lumpur presents unique challenges and opportunities for financial professionals. The selected sources cover regulatory frameworks, market dynamics, technological integration, and career development specific to the Malaysian capital.</w:t>
      </w:r>
    </w:p>
    <w:bookmarkStart w:id="20" w:name="Xf8c719d2ef2d44dc8d18bff52a09f4554478458"/>
    <w:p>
      <w:pPr>
        <w:pStyle w:val="Heading2"/>
      </w:pPr>
      <w:r>
        <w:t xml:space="preserve">Regulatory Frameworks and Professional Standards</w:t>
      </w:r>
    </w:p>
    <w:p>
      <w:pPr>
        <w:pStyle w:val="FirstParagraph"/>
      </w:pPr>
      <w:r>
        <w:t xml:space="preserve">Securities Commission Malaysia. (2023). Capital Market Masterplan 2021-2025: Building a Resilient and Sustainable Capital Market. Kuala Lumpur: Securities Commission Malaysia.</w:t>
      </w:r>
    </w:p>
    <w:p>
      <w:pPr>
        <w:pStyle w:val="BodyText"/>
      </w:pPr>
      <w:r>
        <w:t xml:space="preserve">This official government document outlines the strategic roadmap for Malaysia's capital market over a five-year period. It details initiatives to enhance market integrity, deepen liquidity, and promote sustainable finance. The document specifically addresses the evolving requirements for financial intermediaries and analysts operating within Kuala Lumpur's financial district.</w:t>
      </w:r>
    </w:p>
    <w:p>
      <w:pPr>
        <w:pStyle w:val="BodyText"/>
      </w:pPr>
      <w:r>
        <w:t xml:space="preserve">As a primary source from the regulatory body, this document is highly authoritative. It provides accurate, up-to-date information on compliance requirements that every Financial Analyst in Malaysia must adhere to.</w:t>
      </w:r>
    </w:p>
    <w:p>
      <w:pPr>
        <w:pStyle w:val="BodyText"/>
      </w:pPr>
      <w:r>
        <w:t xml:space="preserve">This source is critical for understanding the macro-environment in which a Financial Analyst operates in Kuala Lumpur. It highlights the shift towards ESG (Environmental, Social, and Governance) reporting, a key skill set required for analysts in the region today.</w:t>
      </w:r>
    </w:p>
    <w:p>
      <w:pPr>
        <w:pStyle w:val="BodyText"/>
      </w:pPr>
      <w:r>
        <w:t xml:space="preserve">Malaysian Institute of Accountants (MIA). (2022). Code of Ethics for Professional Accountants and Financial Analysts. Kuala Lumpur: MIA Publications.</w:t>
      </w:r>
    </w:p>
    <w:p>
      <w:pPr>
        <w:pStyle w:val="BodyText"/>
      </w:pPr>
      <w:r>
        <w:t xml:space="preserve">This publication details the ethical standards and professional conduct expected of financial professionals in Malaysia. It covers integrity, objectivity, professional competence, confidentiality, and professional behavior. The code is aligned with international standards but includes specific interpretations relevant to Malaysian business culture and law.</w:t>
      </w:r>
    </w:p>
    <w:p>
      <w:pPr>
        <w:pStyle w:val="BodyText"/>
      </w:pPr>
      <w:r>
        <w:t xml:space="preserve">The MIA is the statutory body for accountants in Malaysia, making this a definitive resource. The text is clear and practical, offering case studies relevant to the local context.</w:t>
      </w:r>
    </w:p>
    <w:p>
      <w:pPr>
        <w:pStyle w:val="BodyText"/>
      </w:pPr>
      <w:r>
        <w:t xml:space="preserve">For a Financial Analyst working in Kuala Lumpur, adherence to this code is mandatory for licensure and professional credibility. It provides the ethical foundation necessary for navigating complex financial decisions in the Malaysian market.</w:t>
      </w:r>
    </w:p>
    <w:bookmarkEnd w:id="20"/>
    <w:bookmarkStart w:id="21" w:name="market-dynamics-and-economic-context"/>
    <w:p>
      <w:pPr>
        <w:pStyle w:val="Heading2"/>
      </w:pPr>
      <w:r>
        <w:t xml:space="preserve">Market Dynamics and Economic Context</w:t>
      </w:r>
    </w:p>
    <w:p>
      <w:pPr>
        <w:pStyle w:val="FirstParagraph"/>
      </w:pPr>
      <w:r>
        <w:t xml:space="preserve">Bank Negara Malaysia. (2023). Annual Report 2022: Navigating Uncertainty. Kuala Lumpur: Bank Negara Malaysia.</w:t>
      </w:r>
    </w:p>
    <w:p>
      <w:pPr>
        <w:pStyle w:val="BodyText"/>
      </w:pPr>
      <w:r>
        <w:t xml:space="preserve">The central bank's annual report provides a comprehensive analysis of Malaysia's economic performance, monetary policy, and financial stability. It includes detailed data on inflation, GDP growth, foreign exchange reserves, and the banking sector's health, all centered around the economic activities driven from Kuala Lumpur.</w:t>
      </w:r>
    </w:p>
    <w:p>
      <w:pPr>
        <w:pStyle w:val="BodyText"/>
      </w:pPr>
      <w:r>
        <w:t xml:space="preserve">This is an essential primary source for macroeconomic data. The analysis is rigorous and data-driven, offering reliable insights for financial modeling and forecasting.</w:t>
      </w:r>
    </w:p>
    <w:p>
      <w:pPr>
        <w:pStyle w:val="BodyText"/>
      </w:pPr>
      <w:r>
        <w:t xml:space="preserve">A Financial Analyst in Kuala Lumpur must utilize this data to assess market risks and opportunities. Understanding the central bank's stance is vital for analysts advising clients on investments in Malaysian equities and bonds.</w:t>
      </w:r>
    </w:p>
    <w:p>
      <w:pPr>
        <w:pStyle w:val="BodyText"/>
      </w:pPr>
      <w:r>
        <w:t xml:space="preserve">Bursa Malaysia Berhad. (2023). Listing Requirements and Corporate Governance Code. Kuala Lumpur: Bursa Malaysia.</w:t>
      </w:r>
    </w:p>
    <w:p>
      <w:pPr>
        <w:pStyle w:val="BodyText"/>
      </w:pPr>
      <w:r>
        <w:t xml:space="preserve">This document sets out the rules and regulations for companies listed on the Kuala Lumpur Stock Exchange (KLSE). It covers disclosure requirements, financial reporting standards, and corporate governance practices. It is the primary reference for understanding how public companies in Malaysia are regulated.</w:t>
      </w:r>
    </w:p>
    <w:p>
      <w:pPr>
        <w:pStyle w:val="BodyText"/>
      </w:pPr>
      <w:r>
        <w:t xml:space="preserve">As the official rulebook of the stock exchange, this source is indispensable. It is highly detailed and legally binding, requiring careful study by professionals.</w:t>
      </w:r>
    </w:p>
    <w:p>
      <w:pPr>
        <w:pStyle w:val="BodyText"/>
      </w:pPr>
      <w:r>
        <w:t xml:space="preserve">Financial Analysts in Kuala Lumpur rely on this document to evaluate the compliance and governance quality of listed companies. It is crucial for conducting due diligence and providing accurate investment recommendations.</w:t>
      </w:r>
    </w:p>
    <w:bookmarkEnd w:id="21"/>
    <w:bookmarkStart w:id="22" w:name="technology-and-future-trends"/>
    <w:p>
      <w:pPr>
        <w:pStyle w:val="Heading2"/>
      </w:pPr>
      <w:r>
        <w:t xml:space="preserve">Technology and Future Trends</w:t>
      </w:r>
    </w:p>
    <w:p>
      <w:pPr>
        <w:pStyle w:val="FirstParagraph"/>
      </w:pPr>
      <w:r>
        <w:t xml:space="preserve">Khoo, L. S., &amp; Tan, M. K. (2022). Fintech Revolution in Southeast Asia: Implications for Financial Analysis in Malaysia. Journal of Asian Finance, Economics and Business, 9(4), 115-128.</w:t>
      </w:r>
    </w:p>
    <w:p>
      <w:pPr>
        <w:pStyle w:val="BodyText"/>
      </w:pPr>
      <w:r>
        <w:t xml:space="preserve">This academic article examines the impact of financial technology (fintech) on the financial services industry in Southeast Asia, with a specific focus on Malaysia. It discusses how big data, artificial intelligence, and blockchain are transforming the role of the Financial Analyst, particularly in Kuala Lumpur's growing fintech ecosystem.</w:t>
      </w:r>
    </w:p>
    <w:p>
      <w:pPr>
        <w:pStyle w:val="BodyText"/>
      </w:pPr>
      <w:r>
        <w:t xml:space="preserve">The article is well-researched and peer-reviewed, offering a balanced view of technological opportunities and challenges. It cites recent case studies from Malaysian fintech startups.</w:t>
      </w:r>
    </w:p>
    <w:p>
      <w:pPr>
        <w:pStyle w:val="BodyText"/>
      </w:pPr>
      <w:r>
        <w:t xml:space="preserve">This source is highly relevant for Financial Analysts in Kuala Lumpur seeking to stay competitive. It highlights the need for analysts to develop technical skills in data analytics and understand fintech trends shaping the local market.</w:t>
      </w:r>
    </w:p>
    <w:p>
      <w:pPr>
        <w:pStyle w:val="BodyText"/>
      </w:pPr>
      <w:r>
        <w:t xml:space="preserve">Ernst &amp; Young Malaysia. (2023). The Future of Finance: Skills for the Next Generation of Financial Professionals in Malaysia. Kuala Lumpur: EY Malaysia.</w:t>
      </w:r>
    </w:p>
    <w:p>
      <w:pPr>
        <w:pStyle w:val="BodyText"/>
      </w:pPr>
      <w:r>
        <w:t xml:space="preserve">This industry report surveys financial leaders in Malaysia to identify the key skills required for future success. It emphasizes the shift from traditional accounting tasks to strategic advisory, data interpretation, and digital literacy. The report focuses on the talent landscape in Kuala Lumpur's financial sector.</w:t>
      </w:r>
    </w:p>
    <w:p>
      <w:pPr>
        <w:pStyle w:val="BodyText"/>
      </w:pPr>
      <w:r>
        <w:t xml:space="preserve">Produced by a leading global professional services firm, this report offers valuable industry insights. It is based on empirical data from surveys and interviews with Malaysian finance executives.</w:t>
      </w:r>
    </w:p>
    <w:p>
      <w:pPr>
        <w:pStyle w:val="BodyText"/>
      </w:pPr>
      <w:r>
        <w:t xml:space="preserve">For aspiring and current Financial Analysts in Kuala Lumpur, this report provides a roadmap for career development. It underscores the importance of continuous learning and adaptability in a rapidly changing financial environment.</w:t>
      </w:r>
    </w:p>
    <w:bookmarkEnd w:id="22"/>
    <w:bookmarkStart w:id="23" w:name="conclusion"/>
    <w:p>
      <w:pPr>
        <w:pStyle w:val="Heading2"/>
      </w:pPr>
      <w:r>
        <w:t xml:space="preserve">Conclusion</w:t>
      </w:r>
    </w:p>
    <w:p>
      <w:pPr>
        <w:pStyle w:val="FirstParagraph"/>
      </w:pPr>
      <w:r>
        <w:t xml:space="preserve">The selected sources provide a comprehensive overview of the landscape for a Financial Analyst in Kuala Lumpur, Malaysia. From regulatory compliance and ethical standards to market dynamics and technological trends, these resources offer the necessary knowledge base for success in this competitive and dynamic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Kuala Lumpur, Malaysia</dc:title>
  <dc:creator/>
  <dc:language>en</dc:language>
  <cp:keywords/>
  <dcterms:created xsi:type="dcterms:W3CDTF">2026-08-07T06:12:23Z</dcterms:created>
  <dcterms:modified xsi:type="dcterms:W3CDTF">2026-08-07T06:12:23Z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