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Financial</w:t>
      </w:r>
      <w:r>
        <w:t xml:space="preserve"> </w:t>
      </w:r>
      <w:r>
        <w:t xml:space="preserve">Analysts</w:t>
      </w:r>
      <w:r>
        <w:t xml:space="preserve"> </w:t>
      </w:r>
      <w:r>
        <w:t xml:space="preserve">in</w:t>
      </w:r>
      <w:r>
        <w:t xml:space="preserve"> </w:t>
      </w:r>
      <w:r>
        <w:t xml:space="preserve">Amsterdam,</w:t>
      </w:r>
      <w:r>
        <w:t xml:space="preserve"> </w:t>
      </w:r>
      <w:r>
        <w:t xml:space="preserve">Netherlands</w:t>
      </w:r>
    </w:p>
    <w:bookmarkStart w:id="20" w:name="X077887ad5bcef8732a2eabb302f4619f939f100"/>
    <w:p>
      <w:pPr>
        <w:pStyle w:val="Heading1"/>
      </w:pPr>
      <w:r>
        <w:t xml:space="preserve">Annotated Bibliography: The Financial Analyst in Amsterdam</w:t>
      </w:r>
    </w:p>
    <w:p>
      <w:pPr>
        <w:pStyle w:val="FirstParagraph"/>
      </w:pPr>
      <w:r>
        <w:t xml:space="preserve">A curated selection of resources regarding professional standards, regulatory frameworks, and market dynamics for financial professionals in the Netherlands.</w:t>
      </w:r>
    </w:p>
    <w:bookmarkEnd w:id="20"/>
    <w:bookmarkStart w:id="21" w:name="introduction"/>
    <w:p>
      <w:pPr>
        <w:pStyle w:val="Heading2"/>
      </w:pPr>
      <w:r>
        <w:t xml:space="preserve">Introduction</w:t>
      </w:r>
    </w:p>
    <w:p>
      <w:pPr>
        <w:pStyle w:val="FirstParagraph"/>
      </w:pPr>
      <w:r>
        <w:t xml:space="preserve">Amsterdam has firmly established itself as a premier financial hub within Europe, serving as the headquarters for the Amsterdam Stock Exchange (Euronext Amsterdam) and hosting a dense concentration of multinational corporations, fintech startups, and investment firms. For a Financial Analyst operating in this specific geographic and economic context, success requires more than just technical proficiency in valuation and modeling. It demands a nuanced understanding of Dutch corporate governance, European Union regulatory compliance, and the unique cultural dynamics of the Dutch business environment.</w:t>
      </w:r>
    </w:p>
    <w:p>
      <w:pPr>
        <w:pStyle w:val="BodyText"/>
      </w:pPr>
      <w:r>
        <w:t xml:space="preserve">This annotated bibliography compiles essential literature and resources tailored to the Financial Analyst in Amsterdam. The selected works cover critical topics including the Dutch Corporate Governance Code, the implementation of EU financial directives, sustainability reporting standards (ESG), and the evolving landscape of fintech in the Netherlands. These resources are designed to provide a comprehensive foundation for professionals seeking to navigate the complexities of the Amsterdam financial market.</w:t>
      </w:r>
    </w:p>
    <w:bookmarkEnd w:id="21"/>
    <w:bookmarkStart w:id="22" w:name="bibliographic-entries"/>
    <w:p>
      <w:pPr>
        <w:pStyle w:val="Heading2"/>
      </w:pPr>
      <w:r>
        <w:t xml:space="preserve">Bibliographic Entries</w:t>
      </w:r>
    </w:p>
    <w:p>
      <w:pPr>
        <w:pStyle w:val="FirstParagraph"/>
      </w:pPr>
      <w:r>
        <w:t xml:space="preserve"> </w:t>
      </w:r>
      <w:r>
        <w:t xml:space="preserve">Dutch Corporate Governance Code. (2023).</w:t>
      </w:r>
      <w:r>
        <w:t xml:space="preserve"> </w:t>
      </w:r>
      <w:r>
        <w:rPr>
          <w:iCs/>
          <w:i/>
        </w:rPr>
        <w:t xml:space="preserve">The Dutch Corporate Governance Code 2023</w:t>
      </w:r>
      <w:r>
        <w:t xml:space="preserve">. Amsterdam: Netherlands Authority for the Financial Markets (AFM).</w:t>
      </w:r>
      <w:r>
        <w:t xml:space="preserve"> </w:t>
      </w:r>
    </w:p>
    <w:p>
      <w:pPr>
        <w:pStyle w:val="BodyText"/>
      </w:pPr>
      <w:r>
        <w:t xml:space="preserve">This document is the cornerstone of corporate oversight in the Netherlands. For a Financial Analyst in Amsterdam, this code is indispensable. It outlines the "comply or explain" principles that govern the relationship between management, supervisory boards, and shareholders. The 2023 edition places a heightened emphasis on sustainability and long-term value creation. Analysts must utilize this text to evaluate the governance quality of Dutch listed companies, assess board independence, and determine how management aligns with shareholder interests. Understanding these local governance norms is critical for accurate risk assessment and equity valuation in the Amsterdam market.</w:t>
      </w:r>
    </w:p>
    <w:p>
      <w:pPr>
        <w:pStyle w:val="BodyText"/>
      </w:pPr>
      <w:r>
        <w:t xml:space="preserve"> </w:t>
      </w:r>
      <w:r>
        <w:t xml:space="preserve">European Securities and Markets Authority (ESMA). (2022).</w:t>
      </w:r>
      <w:r>
        <w:t xml:space="preserve"> </w:t>
      </w:r>
      <w:r>
        <w:rPr>
          <w:iCs/>
          <w:i/>
        </w:rPr>
        <w:t xml:space="preserve">Guidelines on the application of the Market Abuse Regulation (MAR)</w:t>
      </w:r>
      <w:r>
        <w:t xml:space="preserve">. Paris: ESMA.</w:t>
      </w:r>
      <w:r>
        <w:t xml:space="preserve"> </w:t>
      </w:r>
    </w:p>
    <w:p>
      <w:pPr>
        <w:pStyle w:val="BodyText"/>
      </w:pPr>
      <w:r>
        <w:t xml:space="preserve">While issued at the EU level, these guidelines are directly enforced by the AFM in Amsterdam. This resource is vital for Financial Analysts dealing with insider information, price-sensitive data, and market manipulation risks. The document provides detailed interpretations of what constitutes "inside information" and the obligations of issuers regarding disclosure. For analysts working in Amsterdam’s high-frequency trading environments or equity research departments, adherence to MAR is non-negotiable. This text serves as a practical manual for ensuring compliance and maintaining market integrity while conducting financial analysis.</w:t>
      </w:r>
    </w:p>
    <w:p>
      <w:pPr>
        <w:pStyle w:val="BodyText"/>
      </w:pPr>
      <w:r>
        <w:t xml:space="preserve"> </w:t>
      </w:r>
      <w:r>
        <w:t xml:space="preserve">De Nederlandsche Bank (DNB). (2023).</w:t>
      </w:r>
      <w:r>
        <w:t xml:space="preserve"> </w:t>
      </w:r>
      <w:r>
        <w:rPr>
          <w:iCs/>
          <w:i/>
        </w:rPr>
        <w:t xml:space="preserve">Financial Stability Review: The Dutch Financial System</w:t>
      </w:r>
      <w:r>
        <w:t xml:space="preserve">. Amsterdam: DNB.</w:t>
      </w:r>
      <w:r>
        <w:t xml:space="preserve"> </w:t>
      </w:r>
    </w:p>
    <w:p>
      <w:pPr>
        <w:pStyle w:val="BodyText"/>
      </w:pPr>
      <w:r>
        <w:t xml:space="preserve">Published by the central bank of the Netherlands, this periodic review offers a macroeconomic perspective essential for strategic financial analysis. It details the health of the Dutch banking sector, housing market trends, and systemic risks specific to the Netherlands. For a Financial Analyst in Amsterdam, this report provides the macroeconomic backdrop necessary for forecasting interest rates, credit risks, and economic growth. It bridges the gap between national economic policy and financial market performance, offering data-driven insights that are crucial for portfolio management and economic modeling.</w:t>
      </w:r>
    </w:p>
    <w:p>
      <w:pPr>
        <w:pStyle w:val="BodyText"/>
      </w:pPr>
      <w:r>
        <w:t xml:space="preserve"> </w:t>
      </w:r>
      <w:r>
        <w:t xml:space="preserve">Amsterdam Trading Floor. (2023).</w:t>
      </w:r>
      <w:r>
        <w:t xml:space="preserve"> </w:t>
      </w:r>
      <w:r>
        <w:rPr>
          <w:iCs/>
          <w:i/>
        </w:rPr>
        <w:t xml:space="preserve">The Future of Finance: Fintech and Innovation in Amsterdam</w:t>
      </w:r>
      <w:r>
        <w:t xml:space="preserve">. Amsterdam: Amsterdam Trading Floor.</w:t>
      </w:r>
      <w:r>
        <w:t xml:space="preserve"> </w:t>
      </w:r>
    </w:p>
    <w:p>
      <w:pPr>
        <w:pStyle w:val="BodyText"/>
      </w:pPr>
      <w:r>
        <w:t xml:space="preserve">Amsterdam is rapidly becoming a European leader in financial technology. This report analyzes the ecosystem of fintech startups, blockchain initiatives, and digital banking solutions emerging from the city. For the modern Financial Analyst, understanding these technological disruptions is key to identifying emerging investment opportunities and assessing the competitive threats facing traditional financial institutions. The document highlights specific Amsterdam-based innovations and regulatory sandboxes, providing a forward-looking view of how technology is reshaping financial analysis and service delivery in the region.</w:t>
      </w:r>
    </w:p>
    <w:p>
      <w:pPr>
        <w:pStyle w:val="BodyText"/>
      </w:pPr>
      <w:r>
        <w:t xml:space="preserve"> </w:t>
      </w:r>
      <w:r>
        <w:t xml:space="preserve">Netherlands Authority for the Financial Markets (AFM). (2023).</w:t>
      </w:r>
      <w:r>
        <w:t xml:space="preserve"> </w:t>
      </w:r>
      <w:r>
        <w:rPr>
          <w:iCs/>
          <w:i/>
        </w:rPr>
        <w:t xml:space="preserve">ESG Reporting and the Dutch Market: Expectations and Enforcement</w:t>
      </w:r>
      <w:r>
        <w:t xml:space="preserve">. Amsterdam: AFM.</w:t>
      </w:r>
      <w:r>
        <w:t xml:space="preserve"> </w:t>
      </w:r>
    </w:p>
    <w:p>
      <w:pPr>
        <w:pStyle w:val="BodyText"/>
      </w:pPr>
      <w:r>
        <w:t xml:space="preserve">Environmental, Social, and Governance (ESG) criteria are central to investment decision-making in the Netherlands. This publication outlines the AFM’s expectations regarding non-financial reporting and sustainability disclosures. Dutch investors are among the most active in the world regarding ESG integration. Consequently, a Financial Analyst in Amsterdam must be proficient in evaluating ESG data. This resource clarifies the regulatory requirements for sustainability reporting, helping analysts distinguish between genuine sustainability efforts and "greenwashing," thereby enabling more accurate long-term value assessments.</w:t>
      </w:r>
    </w:p>
    <w:p>
      <w:pPr>
        <w:pStyle w:val="BodyText"/>
      </w:pPr>
      <w:r>
        <w:t xml:space="preserve"> </w:t>
      </w:r>
      <w:r>
        <w:t xml:space="preserve">Van der Laan, J., &amp; Smith, A. (2022).</w:t>
      </w:r>
      <w:r>
        <w:t xml:space="preserve"> </w:t>
      </w:r>
      <w:r>
        <w:rPr>
          <w:iCs/>
          <w:i/>
        </w:rPr>
        <w:t xml:space="preserve">Dutch Business Culture: Directness, Consensus, and Decision Making</w:t>
      </w:r>
      <w:r>
        <w:t xml:space="preserve">. Rotterdam: Erasmus School of Economics Press.</w:t>
      </w:r>
      <w:r>
        <w:t xml:space="preserve"> </w:t>
      </w:r>
    </w:p>
    <w:p>
      <w:pPr>
        <w:pStyle w:val="BodyText"/>
      </w:pPr>
      <w:r>
        <w:t xml:space="preserve">Financial analysis does not occur in a cultural vacuum. This academic text explores the unique characteristics of Dutch business culture, including the "polder model" of consensus-building and the cultural preference for direct communication. For a Financial Analyst operating in Amsterdam, particularly those interacting with local management teams or participating in board meetings, cultural intelligence is a valuable asset. Understanding these behavioral norms can improve the quality of qualitative analysis, enhance stakeholder communication, and provide deeper insights into corporate decision-making processes that may not be immediately apparent from financial statements alone.</w:t>
      </w:r>
    </w:p>
    <w:p>
      <w:pPr>
        <w:pStyle w:val="BodyText"/>
      </w:pPr>
      <w:r>
        <w:t xml:space="preserve"> </w:t>
      </w:r>
      <w:r>
        <w:t xml:space="preserve">Euronext. (2023).</w:t>
      </w:r>
      <w:r>
        <w:t xml:space="preserve"> </w:t>
      </w:r>
      <w:r>
        <w:rPr>
          <w:iCs/>
          <w:i/>
        </w:rPr>
        <w:t xml:space="preserve">Amsterdam Market Data and Listing Rules</w:t>
      </w:r>
      <w:r>
        <w:t xml:space="preserve">. Paris: Euronext N.V.</w:t>
      </w:r>
      <w:r>
        <w:t xml:space="preserve"> </w:t>
      </w:r>
    </w:p>
    <w:p>
      <w:pPr>
        <w:pStyle w:val="BodyText"/>
      </w:pPr>
      <w:r>
        <w:t xml:space="preserve">As the operator of the Amsterdam Stock Exchange, Euronext provides the technical and regulatory framework for trading in the Netherlands. This document details the listing requirements, trading mechanisms, and market data standards for companies listed in Amsterdam. For a Financial Analyst, this is a primary source for understanding market liquidity, trading hours, and the specific obligations of listed entities. It is essential for analysts conducting equity research, as it defines the structural environment in which asset prices are determined and ensures that analysis is based on accurate, exchange-verified data.</w:t>
      </w:r>
    </w:p>
    <w:p>
      <w:pPr>
        <w:pStyle w:val="BodyText"/>
      </w:pPr>
      <w:r>
        <w:t xml:space="preserve"> </w:t>
      </w:r>
      <w:r>
        <w:t xml:space="preserve">Association of Chartered Certified Accountants (ACCA). (2023).</w:t>
      </w:r>
      <w:r>
        <w:t xml:space="preserve"> </w:t>
      </w:r>
      <w:r>
        <w:rPr>
          <w:iCs/>
          <w:i/>
        </w:rPr>
        <w:t xml:space="preserve">IFRS in Practice: European Applications</w:t>
      </w:r>
      <w:r>
        <w:t xml:space="preserve">. London: ACCA Global.</w:t>
      </w:r>
      <w:r>
        <w:t xml:space="preserve"> </w:t>
      </w:r>
    </w:p>
    <w:p>
      <w:pPr>
        <w:pStyle w:val="BodyText"/>
      </w:pPr>
      <w:r>
        <w:t xml:space="preserve">The Netherlands strictly adheres to International Financial Reporting Standards (IFRS) for consolidated financial statements of listed companies. This guide provides practical insights into the application of IFRS within the European context, including specific nuances relevant to Dutch accounting practices. For a Financial Analyst in Amsterdam, mastery of IFRS is mandatory for accurate financial statement analysis. This resource helps analysts interpret complex accounting treatments, adjust for non-GAAP measures, and ensure that financial models are built on a solid understanding of the accounting standards governing Dutch corporations.</w:t>
      </w:r>
    </w:p>
    <w:p>
      <w:pPr>
        <w:pStyle w:val="BodyText"/>
      </w:pPr>
      <w:r>
        <w:t xml:space="preserve">© 2023 Annotated Bibliography for Financial Professionals in Amsterdam. All rights reserved.</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Financial Analysts in Amsterdam, Netherlands</dc:title>
  <dc:creator/>
  <dc:language>en</dc:language>
  <cp:keywords/>
  <dcterms:created xsi:type="dcterms:W3CDTF">2026-08-06T23:55:13Z</dcterms:created>
  <dcterms:modified xsi:type="dcterms:W3CDTF">2026-08-06T23:55:13Z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