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Lima,</w:t>
      </w:r>
      <w:r>
        <w:t xml:space="preserve"> </w:t>
      </w:r>
      <w:r>
        <w:t xml:space="preserve">Peru</w:t>
      </w:r>
    </w:p>
    <w:bookmarkStart w:id="22" w:name="X0439919e4ba92858648da6ff0f4806b73df3600"/>
    <w:p>
      <w:pPr>
        <w:pStyle w:val="Heading1"/>
      </w:pPr>
      <w:r>
        <w:t xml:space="preserve">Annotated Bibliography: The Role of the Financial Analyst in Lima, Peru</w:t>
      </w:r>
    </w:p>
    <w:p>
      <w:pPr>
        <w:pStyle w:val="FirstParagraph"/>
      </w:pPr>
      <w:r>
        <w:t xml:space="preserve">The following annotated bibliography compiles essential resources regarding the profession of the Financial Analyst within the specific economic and regulatory context of Lima, Peru. This collection addresses the technical competencies required by the Peruvian capital markets, the regulatory framework established by the Superintendencia del Mercado de Valores (SMV), and the macroeconomic factors influencing financial decision-making in the region.</w:t>
      </w:r>
    </w:p>
    <w:bookmarkStart w:id="20" w:name="introduction"/>
    <w:p>
      <w:pPr>
        <w:pStyle w:val="Heading2"/>
      </w:pPr>
      <w:r>
        <w:t xml:space="preserve">Introduction</w:t>
      </w:r>
    </w:p>
    <w:p>
      <w:pPr>
        <w:pStyle w:val="FirstParagraph"/>
      </w:pPr>
      <w:r>
        <w:t xml:space="preserve">Lima serves as the financial hub of Peru, hosting the Bolsa de Valores de Lima (BVL) and the headquarters of major banking institutions. For a Financial Analyst operating in this environment, understanding local regulations, currency dynamics (PEN vs. USD), and sector-specific risks (mining, agriculture, and infrastructure) is paramount. The selected literature below provides a comprehensive overview of these critical areas.</w:t>
      </w:r>
    </w:p>
    <w:p>
      <w:pPr>
        <w:pStyle w:val="BodyText"/>
      </w:pPr>
      <w:r>
        <w:t xml:space="preserve"> </w:t>
      </w:r>
      <w:r>
        <w:t xml:space="preserve">Superintendencia del Mercado de Valores (SMV). (2023).</w:t>
      </w:r>
      <w:r>
        <w:t xml:space="preserve"> </w:t>
      </w:r>
      <w:r>
        <w:rPr>
          <w:iCs/>
          <w:i/>
        </w:rPr>
        <w:t xml:space="preserve">Reglamento de la Ley del Mercado de Valores.</w:t>
      </w:r>
      <w:r>
        <w:t xml:space="preserve"> </w:t>
      </w:r>
      <w:r>
        <w:t xml:space="preserve">Lima, Peru: SMV Official Publications.</w:t>
      </w:r>
      <w:r>
        <w:t xml:space="preserve"> </w:t>
      </w:r>
    </w:p>
    <w:p>
      <w:pPr>
        <w:pStyle w:val="BodyText"/>
      </w:pPr>
      <w:r>
        <w:t xml:space="preserve">This primary source is the definitive regulatory text governing the Peruvian securities market. For a Financial Analyst in Lima, this document is indispensable for understanding compliance requirements, disclosure obligations, and corporate governance standards. The text details the legal framework for issuing securities, which is crucial for analysts evaluating public companies listed on the Bolsa de Valores de Lima. It provides the legal basis for financial reporting standards that analysts must scrutinize when assessing the solvency and transparency of Peruvian corporations.</w:t>
      </w:r>
    </w:p>
    <w:p>
      <w:pPr>
        <w:pStyle w:val="BodyText"/>
      </w:pPr>
      <w:r>
        <w:t xml:space="preserve"> </w:t>
      </w:r>
      <w:r>
        <w:t xml:space="preserve">CFA Institute. (2022).</w:t>
      </w:r>
      <w:r>
        <w:t xml:space="preserve"> </w:t>
      </w:r>
      <w:r>
        <w:rPr>
          <w:iCs/>
          <w:i/>
        </w:rPr>
        <w:t xml:space="preserve">Curriculum Level I: Ethics and Professional Standards.</w:t>
      </w:r>
      <w:r>
        <w:t xml:space="preserve"> </w:t>
      </w:r>
      <w:r>
        <w:t xml:space="preserve">Charlottesville, VA: CFA Institute.</w:t>
      </w:r>
      <w:r>
        <w:t xml:space="preserve"> </w:t>
      </w:r>
    </w:p>
    <w:p>
      <w:pPr>
        <w:pStyle w:val="BodyText"/>
      </w:pPr>
      <w:r>
        <w:t xml:space="preserve">While this is a global standard, its application in Lima is increasingly relevant as the Peruvian financial sector aligns with international best practices. This text outlines the Code of Ethics and Standards of Professional Conduct. For a Financial Analyst working in Lima's competitive banking and investment firms, adherence to these ethical guidelines is essential for maintaining professional integrity. The resource is particularly useful for navigating conflicts of interest and insider trading regulations, which are strictly monitored by the SMV in Peru.</w:t>
      </w:r>
    </w:p>
    <w:p>
      <w:pPr>
        <w:pStyle w:val="BodyText"/>
      </w:pPr>
      <w:r>
        <w:t xml:space="preserve"> </w:t>
      </w:r>
      <w:r>
        <w:t xml:space="preserve">Banco Central de Reserva del Perú (BCRP). (2023).</w:t>
      </w:r>
      <w:r>
        <w:t xml:space="preserve"> </w:t>
      </w:r>
      <w:r>
        <w:rPr>
          <w:iCs/>
          <w:i/>
        </w:rPr>
        <w:t xml:space="preserve">Boletín Económico: Análisis de la Situación Macroeconómica.</w:t>
      </w:r>
      <w:r>
        <w:t xml:space="preserve"> </w:t>
      </w:r>
      <w:r>
        <w:t xml:space="preserve">Lima, Peru: BCRP.</w:t>
      </w:r>
      <w:r>
        <w:t xml:space="preserve"> </w:t>
      </w:r>
    </w:p>
    <w:p>
      <w:pPr>
        <w:pStyle w:val="BodyText"/>
      </w:pPr>
      <w:r>
        <w:t xml:space="preserve">This monthly publication is a critical tool for macroeconomic analysis in Peru. It provides detailed data on inflation, interest rates, exchange rates, and GDP growth. A Financial Analyst in Lima relies on this data to forecast economic trends that impact investment portfolios. The bulletin offers specific insights into the Peruvian Sol's performance against the US Dollar, a key variable for analysts managing foreign exchange risk in a country heavily dependent on commodity exports.</w:t>
      </w:r>
    </w:p>
    <w:p>
      <w:pPr>
        <w:pStyle w:val="BodyText"/>
      </w:pPr>
      <w:r>
        <w:t xml:space="preserve"> </w:t>
      </w:r>
      <w:r>
        <w:t xml:space="preserve">Damodaran, A. (2021).</w:t>
      </w:r>
      <w:r>
        <w:t xml:space="preserve"> </w:t>
      </w:r>
      <w:r>
        <w:rPr>
          <w:iCs/>
          <w:i/>
        </w:rPr>
        <w:t xml:space="preserve">Investment Valuation: Tools and Techniques for Determining the Value of Any Asset.</w:t>
      </w:r>
      <w:r>
        <w:t xml:space="preserve"> </w:t>
      </w:r>
      <w:r>
        <w:t xml:space="preserve">4th ed. Hoboken, NJ: Wiley.</w:t>
      </w:r>
      <w:r>
        <w:t xml:space="preserve"> </w:t>
      </w:r>
    </w:p>
    <w:p>
      <w:pPr>
        <w:pStyle w:val="BodyText"/>
      </w:pPr>
      <w:r>
        <w:t xml:space="preserve">Asif Damodaran’s work is a cornerstone for financial valuation techniques. In the context of Lima, this text is vital for analysts valuing assets in emerging markets. The book provides methodologies for calculating the Cost of Equity and Weighted Average Cost of Capital (WACC), which must be adjusted for the country risk premium associated with Peru. Analysts use these frameworks to value mining and infrastructure projects, which are dominant sectors in the Peruvian economy.</w:t>
      </w:r>
    </w:p>
    <w:p>
      <w:pPr>
        <w:pStyle w:val="BodyText"/>
      </w:pPr>
      <w:r>
        <w:t xml:space="preserve"> </w:t>
      </w:r>
      <w:r>
        <w:t xml:space="preserve">Bolsa de Valores de Lima (BVL). (2023).</w:t>
      </w:r>
      <w:r>
        <w:t xml:space="preserve"> </w:t>
      </w:r>
      <w:r>
        <w:rPr>
          <w:iCs/>
          <w:i/>
        </w:rPr>
        <w:t xml:space="preserve">Informe Anual de Actividad y Estadísticas del Mercado.</w:t>
      </w:r>
      <w:r>
        <w:t xml:space="preserve"> </w:t>
      </w:r>
      <w:r>
        <w:t xml:space="preserve">Lima, Peru: BVL.</w:t>
      </w:r>
      <w:r>
        <w:t xml:space="preserve"> </w:t>
      </w:r>
    </w:p>
    <w:p>
      <w:pPr>
        <w:pStyle w:val="BodyText"/>
      </w:pPr>
      <w:r>
        <w:t xml:space="preserve">This annual report offers a comprehensive overview of the trading activity, liquidity, and market capitalization of the Lima Stock Exchange. For a Financial Analyst, this document is essential for understanding market depth and investor sentiment. It highlights the performance of key sectors such as finance, mining, and energy. The data contained herein allows analysts to benchmark individual company performance against the broader market indices, such as the S&amp;P/BVL Peru General Index.</w:t>
      </w:r>
    </w:p>
    <w:p>
      <w:pPr>
        <w:pStyle w:val="BodyText"/>
      </w:pPr>
      <w:r>
        <w:t xml:space="preserve"> </w:t>
      </w:r>
      <w:r>
        <w:t xml:space="preserve">Brealey, R. A., Myers, S. C., &amp; Allen, F. (2020).</w:t>
      </w:r>
      <w:r>
        <w:t xml:space="preserve"> </w:t>
      </w:r>
      <w:r>
        <w:rPr>
          <w:iCs/>
          <w:i/>
        </w:rPr>
        <w:t xml:space="preserve">Principles of Corporate Finance.</w:t>
      </w:r>
      <w:r>
        <w:t xml:space="preserve"> </w:t>
      </w:r>
      <w:r>
        <w:t xml:space="preserve">14th ed. New York, NY: McGraw-Hill Education.</w:t>
      </w:r>
      <w:r>
        <w:t xml:space="preserve"> </w:t>
      </w:r>
    </w:p>
    <w:p>
      <w:pPr>
        <w:pStyle w:val="BodyText"/>
      </w:pPr>
      <w:r>
        <w:t xml:space="preserve">This textbook provides the theoretical foundation for corporate financial decision-making. In Lima, where large conglomerates dominate the economy, understanding capital budgeting, dividend policy, and capital structure is crucial. This resource helps Financial Analysts advise corporate clients on optimal financing strategies, whether through debt issuance in the local market or equity offerings. It bridges the gap between academic theory and the practical financial management required by Peruvian corporations.</w:t>
      </w:r>
    </w:p>
    <w:p>
      <w:pPr>
        <w:pStyle w:val="BodyText"/>
      </w:pPr>
      <w:r>
        <w:t xml:space="preserve"> </w:t>
      </w:r>
      <w:r>
        <w:t xml:space="preserve">International Monetary Fund (IMF). (2023).</w:t>
      </w:r>
      <w:r>
        <w:t xml:space="preserve"> </w:t>
      </w:r>
      <w:r>
        <w:rPr>
          <w:iCs/>
          <w:i/>
        </w:rPr>
        <w:t xml:space="preserve">Peru: Article IV Consultation Staff Report.</w:t>
      </w:r>
      <w:r>
        <w:t xml:space="preserve"> </w:t>
      </w:r>
      <w:r>
        <w:t xml:space="preserve">Washington, D.C.: IMF.</w:t>
      </w:r>
      <w:r>
        <w:t xml:space="preserve"> </w:t>
      </w:r>
    </w:p>
    <w:p>
      <w:pPr>
        <w:pStyle w:val="BodyText"/>
      </w:pPr>
      <w:r>
        <w:t xml:space="preserve">The IMF’s Article IV consultation provides an external, objective assessment of Peru’s economic policies and outlook. For a Financial Analyst in Lima, this report is valuable for identifying potential macroeconomic risks and policy shifts. It analyzes fiscal sustainability, monetary policy effectiveness, and structural reforms. Analysts use this information to adjust their long-term investment strategies and to advise clients on the stability of the Peruvian financial system in the face of global economic fluctuations.</w:t>
      </w:r>
    </w:p>
    <w:p>
      <w:pPr>
        <w:pStyle w:val="BodyText"/>
      </w:pPr>
      <w:r>
        <w:t xml:space="preserve"> </w:t>
      </w:r>
      <w:r>
        <w:t xml:space="preserve">Instituto Peruano de Normas Contables (IPERC). (2022).</w:t>
      </w:r>
      <w:r>
        <w:t xml:space="preserve"> </w:t>
      </w:r>
      <w:r>
        <w:rPr>
          <w:iCs/>
          <w:i/>
        </w:rPr>
        <w:t xml:space="preserve">Normas Internacionales de Información Financiera (NIIF) en el Perú.</w:t>
      </w:r>
      <w:r>
        <w:t xml:space="preserve"> </w:t>
      </w:r>
      <w:r>
        <w:t xml:space="preserve">Lima, Peru: IPERC.</w:t>
      </w:r>
      <w:r>
        <w:t xml:space="preserve"> </w:t>
      </w:r>
    </w:p>
    <w:p>
      <w:pPr>
        <w:pStyle w:val="BodyText"/>
      </w:pPr>
      <w:r>
        <w:t xml:space="preserve">This publication details the implementation of International Financial Reporting Standards (IFRS) in Peru. Since Peruvian companies must adhere to these standards, a Financial Analyst must be proficient in interpreting IFRS-compliant financial statements. This resource clarifies specific accounting treatments relevant to the Peruvian context, ensuring that analysts can accurately assess the financial health of companies without being misled by accounting discrepancies. It is essential for maintaining accuracy in financial modeling and analysis.</w:t>
      </w:r>
    </w:p>
    <w:bookmarkEnd w:id="20"/>
    <w:bookmarkStart w:id="21" w:name="conclusion"/>
    <w:p>
      <w:pPr>
        <w:pStyle w:val="Heading2"/>
      </w:pPr>
      <w:r>
        <w:t xml:space="preserve">Conclusion</w:t>
      </w:r>
    </w:p>
    <w:p>
      <w:pPr>
        <w:pStyle w:val="FirstParagraph"/>
      </w:pPr>
      <w:r>
        <w:t xml:space="preserve">The profession of the Financial Analyst in Lima, Peru, requires a synthesis of global financial theories and local regulatory knowledge. The resources listed above provide a robust foundation for understanding the unique challenges and opportunities within the Peruvian market. By integrating insights from regulatory bodies like the SMV and BCRP with established financial valuation techniques, analysts can deliver high-quality, actionable insights to stakeholders in Lima’s dynamic financial sector.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Lima, Peru</dc:title>
  <dc:creator/>
  <dc:language>en</dc:language>
  <cp:keywords/>
  <dcterms:created xsi:type="dcterms:W3CDTF">2026-08-07T05:46:59Z</dcterms:created>
  <dcterms:modified xsi:type="dcterms:W3CDTF">2026-08-07T05:46:59Z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