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d466472054d81f33a305ec773d74039eecb72e6"/>
    <w:p>
      <w:pPr>
        <w:pStyle w:val="Heading1"/>
      </w:pPr>
      <w:r>
        <w:t xml:space="preserve">Annotated Bibliography: The Role of the Financial Analyst in Riyadh, Saudi Arabia</w:t>
      </w:r>
    </w:p>
    <w:p>
      <w:pPr>
        <w:pStyle w:val="FirstParagraph"/>
      </w:pPr>
      <w:r>
        <w:t xml:space="preserve">This annotated bibliography compiles key resources regarding the profession of the Financial Analyst within the specific economic and regulatory context of Riyadh, Saudi Arabia. As the capital city and the primary financial hub of the Kingdom, Riyadh is central to the implementation of Vision 2030. The following sources examine the regulatory frameworks, market dynamics, and professional competencies required for financial analysts operating in this rapidly evolving environment.</w:t>
      </w:r>
    </w:p>
    <w:bookmarkStart w:id="20" w:name="introduction"/>
    <w:p>
      <w:pPr>
        <w:pStyle w:val="Heading2"/>
      </w:pPr>
      <w:r>
        <w:t xml:space="preserve">Introduction</w:t>
      </w:r>
    </w:p>
    <w:p>
      <w:pPr>
        <w:pStyle w:val="FirstParagraph"/>
      </w:pPr>
      <w:r>
        <w:t xml:space="preserve">The demand for skilled Financial Analysts in Riyadh has surged due to the privatization of state-owned enterprises, the expansion of the Tadawul (Saudi Stock Exchange), and the influx of foreign direct investment. Professionals in this field must navigate a unique landscape defined by Islamic finance principles, local regulatory bodies like the Capital Market Authority (CMA), and global financial standards. The selected literature below provides a comprehensive overview of these critical factors.</w:t>
      </w:r>
    </w:p>
    <w:bookmarkEnd w:id="20"/>
    <w:bookmarkStart w:id="21" w:name="references"/>
    <w:p>
      <w:pPr>
        <w:pStyle w:val="Heading2"/>
      </w:pPr>
      <w:r>
        <w:t xml:space="preserve">References</w:t>
      </w:r>
    </w:p>
    <w:p>
      <w:pPr>
        <w:pStyle w:val="FirstParagraph"/>
      </w:pPr>
      <w:r>
        <w:t xml:space="preserve">Capital Market Authority (CMA). (2023).</w:t>
      </w:r>
      <w:r>
        <w:t xml:space="preserve"> </w:t>
      </w:r>
      <w:r>
        <w:rPr>
          <w:iCs/>
          <w:i/>
        </w:rPr>
        <w:t xml:space="preserve">Regulatory Framework for Investment Firms and Financial Analysts in the Kingdom of Saudi Arabia</w:t>
      </w:r>
      <w:r>
        <w:t xml:space="preserve">. Riyadh: CMA Publications.</w:t>
      </w:r>
    </w:p>
    <w:p>
      <w:pPr>
        <w:pStyle w:val="BodyText"/>
      </w:pPr>
      <w:r>
        <w:t xml:space="preserve">This primary source outlines the legal and ethical obligations for financial analysts practicing in Saudi Arabia. It details the licensing requirements mandated by the CMA, which is the regulatory body overseeing the capital markets in Riyadh. The document is essential for understanding the compliance landscape, including disclosure requirements, conflict of interest management, and the specific codes of conduct applicable to analysts covering Saudi equities. It serves as the foundational text for any analyst seeking to operate legally within the Kingdom's financial sector.</w:t>
      </w:r>
    </w:p>
    <w:p>
      <w:pPr>
        <w:pStyle w:val="BodyText"/>
      </w:pPr>
      <w:r>
        <w:t xml:space="preserve">Al-Saidi, M., &amp; Al-Harbi, K. (2022).</w:t>
      </w:r>
      <w:r>
        <w:t xml:space="preserve"> </w:t>
      </w:r>
      <w:r>
        <w:rPr>
          <w:iCs/>
          <w:i/>
        </w:rPr>
        <w:t xml:space="preserve">Impact of Vision 2030 on Financial Analysis and Corporate Governance in Riyadh</w:t>
      </w:r>
      <w:r>
        <w:t xml:space="preserve">. Journal of Saudi Economic Studies, 15(3), 45-62.</w:t>
      </w:r>
    </w:p>
    <w:p>
      <w:pPr>
        <w:pStyle w:val="BodyText"/>
      </w:pPr>
      <w:r>
        <w:t xml:space="preserve">This academic article analyzes how the strategic goals of Vision 2030 have reshaped the responsibilities of financial analysts in Riyadh. The authors argue that analysts must now incorporate non-financial metrics, such as sustainability and social impact, into their valuation models to align with national transformation goals. The study highlights the shift from traditional oil-centric analysis to a diversified economic model, emphasizing the need for analysts to evaluate sectors like tourism, entertainment, and renewable energy, which are booming in the capital.</w:t>
      </w:r>
    </w:p>
    <w:p>
      <w:pPr>
        <w:pStyle w:val="BodyText"/>
      </w:pPr>
      <w:r>
        <w:t xml:space="preserve">Tadawul Group. (2023).</w:t>
      </w:r>
      <w:r>
        <w:t xml:space="preserve"> </w:t>
      </w:r>
      <w:r>
        <w:rPr>
          <w:iCs/>
          <w:i/>
        </w:rPr>
        <w:t xml:space="preserve">Market Data and Listing Requirements: A Guide for Investors and Analysts</w:t>
      </w:r>
      <w:r>
        <w:t xml:space="preserve">. Riyadh: Tadawul Group.</w:t>
      </w:r>
    </w:p>
    <w:p>
      <w:pPr>
        <w:pStyle w:val="BodyText"/>
      </w:pPr>
      <w:r>
        <w:t xml:space="preserve">As the operator of the Saudi Stock Exchange, Tadawul provides this critical resource for understanding market mechanics in Riyadh. The document details the listing requirements for companies, which directly influences the data availability and quality for financial analysts. It includes guidelines on financial reporting standards and corporate governance codes that analysts must scrutinize when assessing the health of listed entities. This source is vital for analysts conducting fundamental analysis of Saudi equities.</w:t>
      </w:r>
    </w:p>
    <w:p>
      <w:pPr>
        <w:pStyle w:val="BodyText"/>
      </w:pPr>
      <w:r>
        <w:t xml:space="preserve">Islamic Corporation for the Development of the Private Sector (ICD). (2021).</w:t>
      </w:r>
      <w:r>
        <w:t xml:space="preserve"> </w:t>
      </w:r>
      <w:r>
        <w:rPr>
          <w:iCs/>
          <w:i/>
        </w:rPr>
        <w:t xml:space="preserve">Principles of Islamic Finance for Modern Financial Analysis</w:t>
      </w:r>
      <w:r>
        <w:t xml:space="preserve">. Riyadh: ICD Publications.</w:t>
      </w:r>
    </w:p>
    <w:p>
      <w:pPr>
        <w:pStyle w:val="BodyText"/>
      </w:pPr>
      <w:r>
        <w:t xml:space="preserve">Given that Riyadh is a global hub for Islamic finance, this publication is indispensable for financial analysts. It explains how Sharia-compliant principles affect financial modeling, risk assessment, and investment analysis. The text covers the prohibition of interest (Riba) and uncertainty (Gharar), requiring analysts to adapt traditional valuation techniques. Understanding these principles is crucial for analysts working with Saudi banks, sukuk issuers, and investment funds based in the capital.</w:t>
      </w:r>
    </w:p>
    <w:p>
      <w:pPr>
        <w:pStyle w:val="BodyText"/>
      </w:pPr>
      <w:r>
        <w:t xml:space="preserve">CFA Institute. (2023).</w:t>
      </w:r>
      <w:r>
        <w:t xml:space="preserve"> </w:t>
      </w:r>
      <w:r>
        <w:rPr>
          <w:iCs/>
          <w:i/>
        </w:rPr>
        <w:t xml:space="preserve">Global Investment Performance Standards (GIPS) and Local Application in Saudi Arabia</w:t>
      </w:r>
      <w:r>
        <w:t xml:space="preserve">. Charlottesville, VA: CFA Institute.</w:t>
      </w:r>
    </w:p>
    <w:p>
      <w:pPr>
        <w:pStyle w:val="BodyText"/>
      </w:pPr>
      <w:r>
        <w:t xml:space="preserve">While a global standard, this document includes specific case studies and adaptations relevant to emerging markets like Saudi Arabia. For financial analysts in Riyadh aiming for international recognition, adherence to GIPS is increasingly important. The text discusses how to present investment performance data transparently, a key requirement for asset management firms in Riyadh competing for both local and foreign capital. It bridges the gap between local practices and global best practices.</w:t>
      </w:r>
    </w:p>
    <w:p>
      <w:pPr>
        <w:pStyle w:val="BodyText"/>
      </w:pPr>
      <w:r>
        <w:t xml:space="preserve">Ministry of Investment of the Kingdom of Saudi Arabia (MISA). (2023).</w:t>
      </w:r>
      <w:r>
        <w:t xml:space="preserve"> </w:t>
      </w:r>
      <w:r>
        <w:rPr>
          <w:iCs/>
          <w:i/>
        </w:rPr>
        <w:t xml:space="preserve">Foreign Direct Investment Trends and Opportunities in Riyadh</w:t>
      </w:r>
      <w:r>
        <w:t xml:space="preserve">. Riyadh: MISA Reports.</w:t>
      </w:r>
    </w:p>
    <w:p>
      <w:pPr>
        <w:pStyle w:val="BodyText"/>
      </w:pPr>
      <w:r>
        <w:t xml:space="preserve">This report provides macroeconomic data and sector-specific insights crucial for financial analysts advising on foreign investments in Riyadh. It details recent regulatory reforms that have opened new sectors to foreign ownership, impacting market dynamics. Analysts use this data to forecast economic growth, assess market entry risks, and evaluate the potential of new industries. It is a key resource for understanding the broader economic environment in which financial analysis takes place.</w:t>
      </w:r>
    </w:p>
    <w:p>
      <w:pPr>
        <w:pStyle w:val="BodyText"/>
      </w:pPr>
      <w:r>
        <w:t xml:space="preserve">Al-Rashid, S. (2022).</w:t>
      </w:r>
      <w:r>
        <w:t xml:space="preserve"> </w:t>
      </w:r>
      <w:r>
        <w:rPr>
          <w:iCs/>
          <w:i/>
        </w:rPr>
        <w:t xml:space="preserve">Technological Transformation in Saudi Financial Services: The Role of Fintech in Riyadh</w:t>
      </w:r>
      <w:r>
        <w:t xml:space="preserve">. Arabian Business Review, 8(2), 112-125.</w:t>
      </w:r>
    </w:p>
    <w:p>
      <w:pPr>
        <w:pStyle w:val="BodyText"/>
      </w:pPr>
      <w:r>
        <w:t xml:space="preserve">This article explores the rapid adoption of fintech solutions in Riyadh's financial sector. It discusses how financial analysts must adapt to new data sources, including big data and AI-driven analytics, to remain competitive. The text highlights the rise of digital banking and payment systems in Saudi Arabia, which are altering traditional financial metrics and customer behavior. It is a valuable resource for analysts focusing on the technology and banking sectors in the capital.</w:t>
      </w:r>
    </w:p>
    <w:p>
      <w:pPr>
        <w:pStyle w:val="BodyText"/>
      </w:pPr>
      <w:r>
        <w:t xml:space="preserve">Saudi Organization for Certified Public Accountants (SOCPA). (2023).</w:t>
      </w:r>
      <w:r>
        <w:t xml:space="preserve"> </w:t>
      </w:r>
      <w:r>
        <w:rPr>
          <w:iCs/>
          <w:i/>
        </w:rPr>
        <w:t xml:space="preserve">IFRS Adoption and Financial Reporting Standards in Saudi Arabia</w:t>
      </w:r>
      <w:r>
        <w:t xml:space="preserve">. Riyadh: SOCPA Publications.</w:t>
      </w:r>
    </w:p>
    <w:p>
      <w:pPr>
        <w:pStyle w:val="BodyText"/>
      </w:pPr>
      <w:r>
        <w:t xml:space="preserve">This publication details the Kingdom's full adoption of International Financial Reporting Standards (IFRS). For financial analysts in Riyadh, understanding these standards is non-negotiable, as they form the basis for analyzing financial statements of Saudi companies. The document provides guidance on specific IFRS interpretations relevant to the local context, ensuring that analysts can accurately compare financial data across different entities and industries within the Kingdom.</w:t>
      </w:r>
    </w:p>
    <w:bookmarkEnd w:id="21"/>
    <w:bookmarkStart w:id="22" w:name="conclusion"/>
    <w:p>
      <w:pPr>
        <w:pStyle w:val="Heading2"/>
      </w:pPr>
      <w:r>
        <w:t xml:space="preserve">Conclusion</w:t>
      </w:r>
    </w:p>
    <w:p>
      <w:pPr>
        <w:pStyle w:val="FirstParagraph"/>
      </w:pPr>
      <w:r>
        <w:t xml:space="preserve">The profession of the Financial Analyst in Riyadh, Saudi Arabia, is characterized by a dynamic interplay of global standards and local regulatory requirements. The sources compiled in this annotated bibliography highlight the necessity for analysts to be well-versed in Vision 2030 objectives, Islamic finance principles, and the specific regulations enforced by the CMA and Tadawul. Success in this field requires not only technical financial skills but also a deep understanding of the unique economic and cultural landscape of the Kingdom's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Riyadh, Saudi Arabia</dc:title>
  <dc:creator/>
  <dc:language>en</dc:language>
  <cp:keywords/>
  <dcterms:created xsi:type="dcterms:W3CDTF">2026-08-07T02:59:08Z</dcterms:created>
  <dcterms:modified xsi:type="dcterms:W3CDTF">2026-08-07T02:59:08Z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