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Istanbul,</w:t>
      </w:r>
      <w:r>
        <w:t xml:space="preserve"> </w:t>
      </w:r>
      <w:r>
        <w:t xml:space="preserve">Turkey</w:t>
      </w:r>
    </w:p>
    <w:bookmarkStart w:id="21" w:name="annotated-bibliography"/>
    <w:p>
      <w:pPr>
        <w:pStyle w:val="Heading1"/>
      </w:pPr>
      <w:r>
        <w:t xml:space="preserve">Annotated Bibliography</w:t>
      </w:r>
    </w:p>
    <w:bookmarkStart w:id="20" w:name="X6aec4054982888e7f719303a3ebd29cf448d8d6"/>
    <w:p>
      <w:pPr>
        <w:pStyle w:val="Heading2"/>
      </w:pPr>
      <w:r>
        <w:t xml:space="preserve">Role and Regulatory Environment of the Financial Analyst in Istanbul, Turkey</w:t>
      </w:r>
    </w:p>
    <w:p>
      <w:pPr>
        <w:pStyle w:val="FirstParagraph"/>
      </w:pPr>
      <w:r>
        <w:rPr>
          <w:bCs/>
          <w:b/>
        </w:rPr>
        <w:t xml:space="preserve">Subject:</w:t>
      </w:r>
      <w:r>
        <w:t xml:space="preserve"> </w:t>
      </w:r>
      <w:r>
        <w:t xml:space="preserve">Financial Analysis, Regulatory Compliance, and Market Dynamics in Istanbul</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profession of the Financial Analyst within the specific context of Istanbul, Turkey. As the economic hub of the nation, Istanbul hosts the Borsa Istanbul (BIST), the primary banking sector, and a growing fintech ecosystem. The documents selected below cover regulatory frameworks established by the Capital Markets Board (CMB), economic volatility impacts, and professional certification standards relevant to analysts operating in this dynamic environment.</w:t>
      </w:r>
    </w:p>
    <w:bookmarkStart w:id="24" w:name="regulatory-framework-and-compliance"/>
    <w:p>
      <w:pPr>
        <w:pStyle w:val="Heading2"/>
      </w:pPr>
      <w:r>
        <w:t xml:space="preserve">Regulatory Framework and Compliance</w:t>
      </w:r>
    </w:p>
    <w:bookmarkStart w:id="22" w:name="X9b076a19ad22f440c1591ecfcd89f8b4986ce8e"/>
    <w:p>
      <w:pPr>
        <w:pStyle w:val="Heading3"/>
      </w:pPr>
      <w:r>
        <w:t xml:space="preserve">Capital Markets Board of Turkey (CMB). (2023).</w:t>
      </w:r>
      <w:r>
        <w:t xml:space="preserve"> </w:t>
      </w:r>
      <w:r>
        <w:rPr>
          <w:iCs/>
          <w:i/>
        </w:rPr>
        <w:t xml:space="preserve">Regulation on the Issuance of Investment Research Reports</w:t>
      </w:r>
      <w:r>
        <w:t xml:space="preserve">. Ankara: CMB.</w:t>
      </w:r>
    </w:p>
    <w:p>
      <w:pPr>
        <w:pStyle w:val="FirstParagraph"/>
      </w:pPr>
      <w:r>
        <w:t xml:space="preserve">Retrieved from the official CMB legal database.</w:t>
      </w:r>
    </w:p>
    <w:p>
      <w:pPr>
        <w:pStyle w:val="BodyText"/>
      </w:pPr>
      <w:r>
        <w:t xml:space="preserve">This primary source outlines the strict legal obligations for Financial Analysts in Turkey who produce investment research. For an analyst working in Istanbul, this document is critical as it defines the criteria for independence, conflict of interest management, and the mandatory disclosure requirements for reports distributed to the public or institutional clients. The regulation aligns Turkish standards with European Union directives, ensuring that analysts in Istanbul adhere to global best practices regarding transparency. It specifically addresses the "Chinese Wall" protocols necessary within major Istanbul-based investment banks to separate research from trading activities.</w:t>
      </w:r>
    </w:p>
    <w:bookmarkEnd w:id="22"/>
    <w:bookmarkStart w:id="23" w:name="X2414333334b320dc8397ce95b6d7ac346ef195b"/>
    <w:p>
      <w:pPr>
        <w:pStyle w:val="Heading3"/>
      </w:pPr>
      <w:r>
        <w:t xml:space="preserve">Securities Dealers Association of Istanbul (SDAI). (2022).</w:t>
      </w:r>
      <w:r>
        <w:t xml:space="preserve"> </w:t>
      </w:r>
      <w:r>
        <w:rPr>
          <w:iCs/>
          <w:i/>
        </w:rPr>
        <w:t xml:space="preserve">Code of Ethics and Professional Conduct for Investment Advisors</w:t>
      </w:r>
      <w:r>
        <w:t xml:space="preserve">. Istanbul: SDAI.</w:t>
      </w:r>
    </w:p>
    <w:p>
      <w:pPr>
        <w:pStyle w:val="FirstParagraph"/>
      </w:pPr>
      <w:r>
        <w:t xml:space="preserve">Published by the industry association representing brokerage firms in Istanbul.</w:t>
      </w:r>
    </w:p>
    <w:p>
      <w:pPr>
        <w:pStyle w:val="BodyText"/>
      </w:pPr>
      <w:r>
        <w:t xml:space="preserve">This document provides the ethical backbone for the Financial Analyst profession in Istanbul. While the CMB provides the law, the SDAI provides the industry-specific ethical guidelines. This resource is vital for understanding the cultural and professional expectations of analysts in the Turkish market. It details the fiduciary duties analysts owe to their clients, particularly in a market known for high volatility. The code emphasizes the necessity of accurate data representation and prohibits the manipulation of financial forecasts for short-term gain, a crucial reference for maintaining professional integrity in Istanbul's competitive financial district.</w:t>
      </w:r>
    </w:p>
    <w:bookmarkEnd w:id="23"/>
    <w:bookmarkEnd w:id="24"/>
    <w:bookmarkStart w:id="27" w:name="economic-context-and-market-analysis"/>
    <w:p>
      <w:pPr>
        <w:pStyle w:val="Heading2"/>
      </w:pPr>
      <w:r>
        <w:t xml:space="preserve">Economic Context and Market Analysis</w:t>
      </w:r>
    </w:p>
    <w:bookmarkStart w:id="25" w:name="X4f21a38ad9b1d7c0fb0204282be868f8918c3b3"/>
    <w:p>
      <w:pPr>
        <w:pStyle w:val="Heading3"/>
      </w:pPr>
      <w:r>
        <w:t xml:space="preserve">Central Bank of the Republic of Turkey (CBRT). (2023).</w:t>
      </w:r>
      <w:r>
        <w:t xml:space="preserve"> </w:t>
      </w:r>
      <w:r>
        <w:rPr>
          <w:iCs/>
          <w:i/>
        </w:rPr>
        <w:t xml:space="preserve">Financial Stability Report: Q3 2023</w:t>
      </w:r>
      <w:r>
        <w:t xml:space="preserve">. Ankara: CBRT.</w:t>
      </w:r>
    </w:p>
    <w:p>
      <w:pPr>
        <w:pStyle w:val="FirstParagraph"/>
      </w:pPr>
      <w:r>
        <w:t xml:space="preserve">Official publication of the Central Bank.</w:t>
      </w:r>
    </w:p>
    <w:p>
      <w:pPr>
        <w:pStyle w:val="BodyText"/>
      </w:pPr>
      <w:r>
        <w:t xml:space="preserve">For any Financial Analyst in Istanbul, the CBRT's Financial Stability Report is an indispensable tool. This document provides a macroeconomic overview of Turkey's banking sector, inflation trends, and currency fluctuations. Given Istanbul's status as the center of foreign direct investment (FDI) in Turkey, analysts must utilize this data to assess systemic risks. The report offers deep insights into liquidity conditions and credit growth, which are essential for analysts conducting valuation models for Istanbul-based corporations. It serves as a factual baseline for risk assessment in a high-inflation environment.</w:t>
      </w:r>
    </w:p>
    <w:bookmarkEnd w:id="25"/>
    <w:bookmarkStart w:id="26" w:name="X9799d9cf58228c7ee63e28e3e597543886baf49"/>
    <w:p>
      <w:pPr>
        <w:pStyle w:val="Heading3"/>
      </w:pPr>
      <w:r>
        <w:t xml:space="preserve">Borsa Istanbul (BIST). (2023).</w:t>
      </w:r>
      <w:r>
        <w:t xml:space="preserve"> </w:t>
      </w:r>
      <w:r>
        <w:rPr>
          <w:iCs/>
          <w:i/>
        </w:rPr>
        <w:t xml:space="preserve">Annual Market Activity Report</w:t>
      </w:r>
      <w:r>
        <w:t xml:space="preserve">. Istanbul: Borsa Istanbul.</w:t>
      </w:r>
    </w:p>
    <w:p>
      <w:pPr>
        <w:pStyle w:val="FirstParagraph"/>
      </w:pPr>
      <w:r>
        <w:t xml:space="preserve">Published by the primary stock exchange of Turkey.</w:t>
      </w:r>
    </w:p>
    <w:p>
      <w:pPr>
        <w:pStyle w:val="BodyText"/>
      </w:pPr>
      <w:r>
        <w:t xml:space="preserve">This report offers granular data on trading volumes, sector performance, and investor demographics within Istanbul. For a Financial Analyst, this source is crucial for understanding market sentiment and liquidity trends specific to the local exchange. The document highlights the increasing participation of retail investors and the impact of algorithmic trading in Istanbul. It provides the empirical data necessary for analysts to justify sector allocations and to understand the behavioral patterns of market participants in Turkey's most active financial center.</w:t>
      </w:r>
    </w:p>
    <w:bookmarkEnd w:id="26"/>
    <w:bookmarkEnd w:id="27"/>
    <w:bookmarkStart w:id="30" w:name="X8a37a8f29c27c8b919594fd6ad797c869359b9a"/>
    <w:p>
      <w:pPr>
        <w:pStyle w:val="Heading2"/>
      </w:pPr>
      <w:r>
        <w:t xml:space="preserve">Professional Development and Global Standards</w:t>
      </w:r>
    </w:p>
    <w:bookmarkStart w:id="28" w:name="Xb4c025ed954cee70e038b9bf463604750d50b3b"/>
    <w:p>
      <w:pPr>
        <w:pStyle w:val="Heading3"/>
      </w:pPr>
      <w:r>
        <w:t xml:space="preserve">CFA Institute. (2023).</w:t>
      </w:r>
      <w:r>
        <w:t xml:space="preserve"> </w:t>
      </w:r>
      <w:r>
        <w:rPr>
          <w:iCs/>
          <w:i/>
        </w:rPr>
        <w:t xml:space="preserve">Global Investment Performance Standards (GIPS) and the Role of the Analyst in Emerging Markets</w:t>
      </w:r>
      <w:r>
        <w:t xml:space="preserve">. Charlottesville, VA: CFA Institute.</w:t>
      </w:r>
    </w:p>
    <w:p>
      <w:pPr>
        <w:pStyle w:val="FirstParagraph"/>
      </w:pPr>
      <w:r>
        <w:t xml:space="preserve">International standard-setting body for investment professionals.</w:t>
      </w:r>
    </w:p>
    <w:p>
      <w:pPr>
        <w:pStyle w:val="BodyText"/>
      </w:pPr>
      <w:r>
        <w:t xml:space="preserve">This resource bridges the gap between local Turkish practices and global financial standards. Many Financial Analysts in Istanbul work for multinational firms or manage portfolios for international clients. This document explains how the CFA curriculum applies to emerging markets like Turkey. It emphasizes the importance of standardized performance reporting, which is increasingly demanded by foreign investors looking at Istanbul assets. For the Turkish analyst, this text is a guide to achieving global credibility and ensuring that their analytical methodologies meet international scrutiny.</w:t>
      </w:r>
    </w:p>
    <w:bookmarkEnd w:id="28"/>
    <w:bookmarkStart w:id="29" w:name="X481e84cb392fa3e55324f872d50c8d35fba249a"/>
    <w:p>
      <w:pPr>
        <w:pStyle w:val="Heading3"/>
      </w:pPr>
      <w:r>
        <w:t xml:space="preserve">Yıldız, M., &amp; Kaya, O. (2022). "The Impact of Digital Transformation on Financial Analysis in Istanbul."</w:t>
      </w:r>
      <w:r>
        <w:t xml:space="preserve"> </w:t>
      </w:r>
      <w:r>
        <w:rPr>
          <w:iCs/>
          <w:i/>
        </w:rPr>
        <w:t xml:space="preserve">Journal of Turkish Financial Studies</w:t>
      </w:r>
      <w:r>
        <w:t xml:space="preserve">, 10(2), 45-62.</w:t>
      </w:r>
    </w:p>
    <w:p>
      <w:pPr>
        <w:pStyle w:val="FirstParagraph"/>
      </w:pPr>
      <w:r>
        <w:t xml:space="preserve">Academic journal focusing on Turkish economic developments.</w:t>
      </w:r>
    </w:p>
    <w:p>
      <w:pPr>
        <w:pStyle w:val="BodyText"/>
      </w:pPr>
      <w:r>
        <w:t xml:space="preserve">This academic article examines the rapid adoption of fintech and AI tools by Financial Analysts in Istanbul. It provides a contemporary analysis of how traditional financial modeling is being augmented by big data analytics in Turkey. The study is particularly relevant for analysts seeking to modernize their skill sets. It discusses case studies from Istanbul-based banks and asset management firms, illustrating the practical application of new technologies in risk management and portfolio optimization. This source is essential for understanding the future trajectory of the profession in Turkey.</w:t>
      </w:r>
    </w:p>
    <w:bookmarkEnd w:id="29"/>
    <w:bookmarkEnd w:id="30"/>
    <w:bookmarkStart w:id="33" w:name="corporate-governance-and-reporting"/>
    <w:p>
      <w:pPr>
        <w:pStyle w:val="Heading2"/>
      </w:pPr>
      <w:r>
        <w:t xml:space="preserve">Corporate Governance and Reporting</w:t>
      </w:r>
    </w:p>
    <w:bookmarkStart w:id="31" w:name="X63b30095e9723f02771287295d2cb648710cf12"/>
    <w:p>
      <w:pPr>
        <w:pStyle w:val="Heading3"/>
      </w:pPr>
      <w:r>
        <w:t xml:space="preserve">Ministry of Treasury and Finance. (2023).</w:t>
      </w:r>
      <w:r>
        <w:t xml:space="preserve"> </w:t>
      </w:r>
      <w:r>
        <w:rPr>
          <w:iCs/>
          <w:i/>
        </w:rPr>
        <w:t xml:space="preserve">Corporate Governance Principles for Publicly Held Companies</w:t>
      </w:r>
      <w:r>
        <w:t xml:space="preserve">. Ankara: Ministry of Treasury and Finance.</w:t>
      </w:r>
    </w:p>
    <w:p>
      <w:pPr>
        <w:pStyle w:val="FirstParagraph"/>
      </w:pPr>
      <w:r>
        <w:t xml:space="preserve">Government directive applicable to all listed companies in Turkey.</w:t>
      </w:r>
    </w:p>
    <w:p>
      <w:pPr>
        <w:pStyle w:val="BodyText"/>
      </w:pPr>
      <w:r>
        <w:t xml:space="preserve">Financial Analysts in Istanbul rely heavily on the quality of corporate disclosures. This document outlines the governance standards that Turkish companies must follow, directly impacting the reliability of financial statements. It covers board structure, audit committees, and shareholder rights. For an analyst, understanding these principles is vital for conducting fundamental analysis, as it helps in assessing the quality of management and the potential for corporate fraud. It serves as a checklist for analysts evaluating the governance risks of Istanbul-listed equities.</w:t>
      </w:r>
    </w:p>
    <w:bookmarkEnd w:id="31"/>
    <w:bookmarkStart w:id="32" w:name="X5ae0f919d176587f9f28a3f3ab225e1e1ddf50c"/>
    <w:p>
      <w:pPr>
        <w:pStyle w:val="Heading3"/>
      </w:pPr>
      <w:r>
        <w:t xml:space="preserve">Ernst &amp; Young Turkey. (2023).</w:t>
      </w:r>
      <w:r>
        <w:t xml:space="preserve"> </w:t>
      </w:r>
      <w:r>
        <w:rPr>
          <w:iCs/>
          <w:i/>
        </w:rPr>
        <w:t xml:space="preserve">Turkey Corporate Tax Guide and Financial Reporting Standards</w:t>
      </w:r>
      <w:r>
        <w:t xml:space="preserve">. Istanbul: EY Turkey.</w:t>
      </w:r>
    </w:p>
    <w:p>
      <w:pPr>
        <w:pStyle w:val="FirstParagraph"/>
      </w:pPr>
      <w:r>
        <w:t xml:space="preserve">Professional services firm publication.</w:t>
      </w:r>
    </w:p>
    <w:p>
      <w:pPr>
        <w:pStyle w:val="BodyText"/>
      </w:pPr>
      <w:r>
        <w:t xml:space="preserve">This comprehensive guide details the tax implications and accounting standards (TFRS) used in Turkey. For a Financial Analyst in Istanbul, a deep understanding of local tax laws and accounting nuances is non-negotiable. This resource clarifies how specific Turkish tax regulations affect net income calculations and cash flow projections. It is particularly useful for analysts working with cross-border investments, as it explains the differences between Turkish accounting practices and IFRS, ensuring accurate financial modeling and valuation.</w:t>
      </w:r>
    </w:p>
    <w:bookmarkEnd w:id="32"/>
    <w:p>
      <w:pPr>
        <w:pStyle w:val="BodyText"/>
      </w:pPr>
      <w:r>
        <w:t xml:space="preserve">This annotated bibliography is intended for educational and professional reference purposes regarding the Financial Analyst profession in Istanbul, Turkey.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Istanbul, Turkey</dc:title>
  <dc:creator/>
  <dc:language>en</dc:language>
  <cp:keywords/>
  <dcterms:created xsi:type="dcterms:W3CDTF">2026-08-07T07:49:23Z</dcterms:created>
  <dcterms:modified xsi:type="dcterms:W3CDTF">2026-08-07T07:49:23Z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