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Analysts</w:t>
      </w:r>
      <w:r>
        <w:t xml:space="preserve"> </w:t>
      </w:r>
      <w:r>
        <w:t xml:space="preserve">in</w:t>
      </w:r>
      <w:r>
        <w:t xml:space="preserve"> </w:t>
      </w:r>
      <w:r>
        <w:t xml:space="preserve">Abu</w:t>
      </w:r>
      <w:r>
        <w:t xml:space="preserve"> </w:t>
      </w:r>
      <w:r>
        <w:t xml:space="preserve">Dhabi,</w:t>
      </w:r>
      <w:r>
        <w:t xml:space="preserve"> </w:t>
      </w:r>
      <w:r>
        <w:t xml:space="preserve">UAE</w:t>
      </w:r>
    </w:p>
    <w:bookmarkStart w:id="23" w:name="X38aaba01dfc5375256d98ce329280f8aed9872c"/>
    <w:p>
      <w:pPr>
        <w:pStyle w:val="Heading1"/>
      </w:pPr>
      <w:r>
        <w:t xml:space="preserve">Annotated Bibliography: The Role of the Financial Analyst in Abu Dhabi, United Arab Emirates</w:t>
      </w:r>
    </w:p>
    <w:p>
      <w:pPr>
        <w:pStyle w:val="FirstParagraph"/>
      </w:pPr>
      <w:r>
        <w:t xml:space="preserve">This annotated bibliography compiles essential resources regarding the profession of the Financial Analyst within the specific economic and regulatory context of Abu Dhabi, United Arab Emirates. The selected texts cover regulatory frameworks, market dynamics, professional certification requirements, and the evolving landscape of financial technology in the Emirate.</w:t>
      </w:r>
    </w:p>
    <w:bookmarkStart w:id="20" w:name="introduction"/>
    <w:p>
      <w:pPr>
        <w:pStyle w:val="Heading2"/>
      </w:pPr>
      <w:r>
        <w:t xml:space="preserve">Introduction</w:t>
      </w:r>
    </w:p>
    <w:p>
      <w:pPr>
        <w:pStyle w:val="FirstParagraph"/>
      </w:pPr>
      <w:r>
        <w:t xml:space="preserve">Abu Dhabi serves as the financial heart of the United Arab Emirates, hosting the Abu Dhabi Global Market (ADGM) and the Abu Dhabi Securities Exchange (ADX). For a Financial Analyst operating in this jurisdiction, understanding the intersection of Islamic finance principles, international regulatory standards, and local economic diversification strategies (such as Vision 2030) is critical. The following annotations provide a comprehensive overview of the literature necessary for professionals and students entering this field.</w:t>
      </w:r>
    </w:p>
    <w:bookmarkEnd w:id="20"/>
    <w:bookmarkStart w:id="21" w:name="references"/>
    <w:p>
      <w:pPr>
        <w:pStyle w:val="Heading2"/>
      </w:pPr>
      <w:r>
        <w:t xml:space="preserve">References</w:t>
      </w:r>
    </w:p>
    <w:p>
      <w:pPr>
        <w:pStyle w:val="FirstParagraph"/>
      </w:pPr>
      <w:r>
        <w:t xml:space="preserve">Abu Dhabi Global Market (ADGM). (2023).</w:t>
      </w:r>
      <w:r>
        <w:t xml:space="preserve"> </w:t>
      </w:r>
      <w:r>
        <w:rPr>
          <w:iCs/>
          <w:i/>
        </w:rPr>
        <w:t xml:space="preserve">Financial Services Regulatory Framework: Handbook for Practitioners</w:t>
      </w:r>
      <w:r>
        <w:t xml:space="preserve">. Abu Dhabi: ADGM Regulatory Authority.</w:t>
      </w:r>
    </w:p>
    <w:p>
      <w:pPr>
        <w:pStyle w:val="BodyText"/>
      </w:pPr>
      <w:r>
        <w:t xml:space="preserve">This official handbook is a primary source for any Financial Analyst seeking employment or conducting business within the ADGM free zone. It details the specific licensing requirements, compliance obligations, and conduct rules that govern financial services firms. For the analyst, this text is crucial for understanding the regulatory environment that differs from the mainland UAE, offering a common law-based system. It provides actionable insights into how financial reporting and risk analysis must be structured to meet ADGM standards, making it an indispensable resource for ensuring legal compliance in Abu Dhabi’s international financial hub.</w:t>
      </w:r>
    </w:p>
    <w:p>
      <w:pPr>
        <w:pStyle w:val="BodyText"/>
      </w:pPr>
      <w:r>
        <w:t xml:space="preserve">Al-Hassan, M., &amp; Al-Mansoori, S. (2022).</w:t>
      </w:r>
      <w:r>
        <w:t xml:space="preserve"> </w:t>
      </w:r>
      <w:r>
        <w:rPr>
          <w:iCs/>
          <w:i/>
        </w:rPr>
        <w:t xml:space="preserve">Islamic Finance and Investment in the UAE: Principles and Practice</w:t>
      </w:r>
      <w:r>
        <w:t xml:space="preserve">. Dubai: Gulf Publishing House.</w:t>
      </w:r>
    </w:p>
    <w:p>
      <w:pPr>
        <w:pStyle w:val="BodyText"/>
      </w:pPr>
      <w:r>
        <w:t xml:space="preserve">Given the prominence of Sharia-compliant finance in the United Arab Emirates, this text is vital for Financial Analysts in Abu Dhabi. It explores the theoretical underpinnings of Islamic finance and applies them to the local market context. The authors analyze how Sukuk (Islamic bonds) and Sharia-compliant equities are evaluated differently from conventional instruments. For an analyst in Abu Dhabi, mastering these concepts is not merely academic but a professional necessity, as a significant portion of the capital market activity involves Islamic financial products. This book bridges the gap between religious jurisprudence and quantitative financial analysis.</w:t>
      </w:r>
    </w:p>
    <w:p>
      <w:pPr>
        <w:pStyle w:val="BodyText"/>
      </w:pPr>
      <w:r>
        <w:t xml:space="preserve">Association of Chartered Certified Accountants (ACCA). (2023).</w:t>
      </w:r>
      <w:r>
        <w:t xml:space="preserve"> </w:t>
      </w:r>
      <w:r>
        <w:rPr>
          <w:iCs/>
          <w:i/>
        </w:rPr>
        <w:t xml:space="preserve">Global Skills Outlook: The Future of Finance in the Middle East</w:t>
      </w:r>
      <w:r>
        <w:t xml:space="preserve">. London: ACCA.</w:t>
      </w:r>
    </w:p>
    <w:p>
      <w:pPr>
        <w:pStyle w:val="BodyText"/>
      </w:pPr>
      <w:r>
        <w:t xml:space="preserve">This report provides a macro-level view of the skills required for financial professionals in the Middle East, with specific case studies on Abu Dhabi. It highlights the shift from traditional bookkeeping to strategic financial analysis, data analytics, and sustainability reporting. The document is highly relevant for analysts aiming to advance their careers in the UAE, as it outlines the competencies valued by major employers such as First Abu Dhabi Bank (FAB) and Mubadala Investment Company. It serves as a roadmap for professional development, emphasizing the need for continuous learning in a rapidly digitizing economy.</w:t>
      </w:r>
    </w:p>
    <w:p>
      <w:pPr>
        <w:pStyle w:val="BodyText"/>
      </w:pPr>
      <w:r>
        <w:t xml:space="preserve">CFA Institute. (2023).</w:t>
      </w:r>
      <w:r>
        <w:t xml:space="preserve"> </w:t>
      </w:r>
      <w:r>
        <w:rPr>
          <w:iCs/>
          <w:i/>
        </w:rPr>
        <w:t xml:space="preserve">Curriculum: Financial Reporting and Analysis</w:t>
      </w:r>
      <w:r>
        <w:t xml:space="preserve">. Charlottesville, VA: CFA Institute.</w:t>
      </w:r>
    </w:p>
    <w:p>
      <w:pPr>
        <w:pStyle w:val="BodyText"/>
      </w:pPr>
      <w:r>
        <w:t xml:space="preserve">While a global standard, the CFA curriculum is the benchmark for Financial Analysts in Abu Dhabi. This specific volume focuses on interpreting financial statements, a core competency for the role. In the context of the UAE, this text is essential for analyzing the financial health of entities listed on the Abu Dhabi Securities Exchange (ADX). It provides the rigorous analytical frameworks necessary to assess corporate performance, valuation, and risk. For analysts in Abu Dhabi, proficiency in these methods is often a prerequisite for senior roles, ensuring that financial assessments meet international best practices.</w:t>
      </w:r>
    </w:p>
    <w:p>
      <w:pPr>
        <w:pStyle w:val="BodyText"/>
      </w:pPr>
      <w:r>
        <w:t xml:space="preserve">Central Bank of the United Arab Emirates. (2023).</w:t>
      </w:r>
      <w:r>
        <w:t xml:space="preserve"> </w:t>
      </w:r>
      <w:r>
        <w:rPr>
          <w:iCs/>
          <w:i/>
        </w:rPr>
        <w:t xml:space="preserve">Annual Economic Report: Stability and Growth</w:t>
      </w:r>
      <w:r>
        <w:t xml:space="preserve">. Abu Dhabi: Central Bank of the UAE.</w:t>
      </w:r>
    </w:p>
    <w:p>
      <w:pPr>
        <w:pStyle w:val="BodyText"/>
      </w:pPr>
      <w:r>
        <w:t xml:space="preserve">This annual publication is a critical data source for Financial Analysts operating in Abu Dhabi. It provides comprehensive statistics on monetary policy, banking sector stability, and economic indicators specific to the UAE. Analysts rely on this document to forecast market trends, assess interest rate risks, and understand the regulatory stance of the Central Bank. The report’s detailed breakdown of the non-oil sector is particularly relevant for Abu Dhabi, reflecting the Emirate’s economic diversification efforts. It is an authoritative reference for grounding financial models in accurate, local economic data.</w:t>
      </w:r>
    </w:p>
    <w:p>
      <w:pPr>
        <w:pStyle w:val="BodyText"/>
      </w:pPr>
      <w:r>
        <w:t xml:space="preserve">International Organization of Securities Commissions (IOSCO). (2022).</w:t>
      </w:r>
      <w:r>
        <w:t xml:space="preserve"> </w:t>
      </w:r>
      <w:r>
        <w:rPr>
          <w:iCs/>
          <w:i/>
        </w:rPr>
        <w:t xml:space="preserve">Objectives and Principles of Securities Regulation</w:t>
      </w:r>
      <w:r>
        <w:t xml:space="preserve">. Madrid: IOSCO.</w:t>
      </w:r>
    </w:p>
    <w:p>
      <w:pPr>
        <w:pStyle w:val="BodyText"/>
      </w:pPr>
      <w:r>
        <w:t xml:space="preserve">As Abu Dhabi aligns its financial regulations with global standards, IOSCO principles are increasingly influential. This document outlines the core objectives of securities regulation, including investor protection and market integrity. For a Financial Analyst in Abu Dhabi, understanding these principles is key to navigating the regulatory landscape of both the ADGM and the mainland UAE. It provides context for the rules enforced by the Financial Services Regulatory Authority (FSRA) and the Securities and Commodities Authority (SCA), helping analysts understand the rationale behind compliance requirements and market conduct rules.</w:t>
      </w:r>
    </w:p>
    <w:p>
      <w:pPr>
        <w:pStyle w:val="BodyText"/>
      </w:pPr>
      <w:r>
        <w:t xml:space="preserve">Mubadala Investment Company. (2023).</w:t>
      </w:r>
      <w:r>
        <w:t xml:space="preserve"> </w:t>
      </w:r>
      <w:r>
        <w:rPr>
          <w:iCs/>
          <w:i/>
        </w:rPr>
        <w:t xml:space="preserve">Strategic Report: Driving Economic Diversification</w:t>
      </w:r>
      <w:r>
        <w:t xml:space="preserve">. Abu Dhabi: Mubadala.</w:t>
      </w:r>
    </w:p>
    <w:p>
      <w:pPr>
        <w:pStyle w:val="BodyText"/>
      </w:pPr>
      <w:r>
        <w:t xml:space="preserve">Mubadala is one of the largest sovereign wealth funds in the world and a key employer of Financial Analysts in Abu Dhabi. This strategic report offers insights into the investment thesis, portfolio management, and risk assessment strategies of a major Abu Dhabi-based entity. It is an excellent case study for analysts to understand how large-scale capital allocation is conducted in the UAE. The report highlights sectors of strategic importance, such as aerospace, healthcare, and technology, providing analysts with valuable intelligence on emerging investment opportunities and economic priorities in the Emirate.</w:t>
      </w:r>
    </w:p>
    <w:p>
      <w:pPr>
        <w:pStyle w:val="BodyText"/>
      </w:pPr>
      <w:r>
        <w:t xml:space="preserve">World Bank. (2023).</w:t>
      </w:r>
      <w:r>
        <w:t xml:space="preserve"> </w:t>
      </w:r>
      <w:r>
        <w:rPr>
          <w:iCs/>
          <w:i/>
        </w:rPr>
        <w:t xml:space="preserve">UAE Economic Monitor: Navigating Global Uncertainty</w:t>
      </w:r>
      <w:r>
        <w:t xml:space="preserve">. Washington, DC: World Bank Group.</w:t>
      </w:r>
    </w:p>
    <w:p>
      <w:pPr>
        <w:pStyle w:val="BodyText"/>
      </w:pPr>
      <w:r>
        <w:t xml:space="preserve">This periodic report provides an external, objective analysis of the UAE’s economic performance, with specific focus on Abu Dhabi’s role as the economic engine. It discusses challenges such as global inflation, oil price volatility, and fiscal policy adjustments. For Financial Analysts, this text is valuable for scenario planning and risk analysis. It offers a broader perspective on how global macroeconomic factors impact the local financial markets in Abu Dhabi, enabling analysts to provide more robust and forward-looking advice to clients and stakeholders.</w:t>
      </w:r>
    </w:p>
    <w:bookmarkEnd w:id="21"/>
    <w:bookmarkStart w:id="22" w:name="conclusion"/>
    <w:p>
      <w:pPr>
        <w:pStyle w:val="Heading2"/>
      </w:pPr>
      <w:r>
        <w:t xml:space="preserve">Conclusion</w:t>
      </w:r>
    </w:p>
    <w:p>
      <w:pPr>
        <w:pStyle w:val="FirstParagraph"/>
      </w:pPr>
      <w:r>
        <w:t xml:space="preserve">The profession of a Financial Analyst in Abu Dhabi, United Arab Emirates, requires a unique blend of international financial expertise and local market knowledge. The resources listed above provide a solid foundation for understanding the regulatory, cultural, and economic factors that define this role. By engaging with these texts, analysts can better navigate the complexities of the Abu Dhabi financial landscape, contribute to economic diversification, and uphold the highest standards of professional integrity.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Analysts in Abu Dhabi, UAE</dc:title>
  <dc:creator/>
  <dc:language>en</dc:language>
  <cp:keywords/>
  <dcterms:created xsi:type="dcterms:W3CDTF">2026-08-07T00:36:58Z</dcterms:created>
  <dcterms:modified xsi:type="dcterms:W3CDTF">2026-08-07T00:36:58Z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