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New</w:t>
      </w:r>
      <w:r>
        <w:t xml:space="preserve"> </w:t>
      </w:r>
      <w:r>
        <w:t xml:space="preserve">York</w:t>
      </w:r>
      <w:r>
        <w:t xml:space="preserve"> </w:t>
      </w:r>
      <w:r>
        <w:t xml:space="preserve">City</w:t>
      </w:r>
    </w:p>
    <w:bookmarkStart w:id="20" w:name="annotated-bibliography"/>
    <w:p>
      <w:pPr>
        <w:pStyle w:val="Heading1"/>
      </w:pPr>
      <w:r>
        <w:t xml:space="preserve">Annotated Bibliography</w:t>
      </w:r>
    </w:p>
    <w:p>
      <w:pPr>
        <w:pStyle w:val="FirstParagraph"/>
      </w:pPr>
      <w:r>
        <w:t xml:space="preserve">The Role, Regulation, and Market Dynamics of the Financial Analyst in New York City</w:t>
      </w:r>
    </w:p>
    <w:bookmarkEnd w:id="20"/>
    <w:p>
      <w:pPr>
        <w:pStyle w:val="BodyText"/>
      </w:pPr>
      <w:r>
        <w:t xml:space="preserve">New York City remains the undisputed epicenter of global finance within the United States. For the modern Financial Analyst operating in this jurisdiction, the professional landscape is defined by a unique convergence of high-stakes capital markets, rigorous federal and state regulation, and rapid technological disruption. This annotated bibliography compiles essential resources that examine the specific competencies, ethical obligations, and market realities required for success in this environment. The selected texts range from foundational professional standards to contemporary analyses of the New York financial ecosystem.</w:t>
      </w:r>
    </w:p>
    <w:p>
      <w:pPr>
        <w:pStyle w:val="BodyText"/>
      </w:pPr>
      <w:r>
        <w:t xml:space="preserve">CFA Institute. (2023).</w:t>
      </w:r>
      <w:r>
        <w:t xml:space="preserve"> </w:t>
      </w:r>
      <w:r>
        <w:rPr>
          <w:iCs/>
          <w:i/>
        </w:rPr>
        <w:t xml:space="preserve">Glossary of CFA Institute Terms: Financial Analysis and Valuation</w:t>
      </w:r>
      <w:r>
        <w:t xml:space="preserve">. Charlottesville, VA: CFA Institute.</w:t>
      </w:r>
    </w:p>
    <w:p>
      <w:pPr>
        <w:pStyle w:val="BodyText"/>
      </w:pPr>
      <w:r>
        <w:t xml:space="preserve">While published nationally, this resource is the definitive standard for Financial Analysts working in New York City. The text provides the rigorous technical vocabulary and ethical framework mandated by the Chartered Financial Analyst (CFA) designation. For an analyst in NYC, where institutional investors and hedge funds demand precision, this glossary is critical for ensuring compliance with industry standards. It covers valuation techniques, financial reporting standards, and the ethical duties owed to clients, which are paramount in the dense regulatory environment of the United States.</w:t>
      </w:r>
    </w:p>
    <w:p>
      <w:pPr>
        <w:pStyle w:val="BodyText"/>
      </w:pPr>
      <w:r>
        <w:t xml:space="preserve">New York State Department of Financial Services (NYDFS). (2024).</w:t>
      </w:r>
      <w:r>
        <w:t xml:space="preserve"> </w:t>
      </w:r>
      <w:r>
        <w:rPr>
          <w:iCs/>
          <w:i/>
        </w:rPr>
        <w:t xml:space="preserve">Regulatory Guidance for Financial Services Companies</w:t>
      </w:r>
      <w:r>
        <w:t xml:space="preserve">. Albany, NY: NYDFS.</w:t>
      </w:r>
    </w:p>
    <w:p>
      <w:pPr>
        <w:pStyle w:val="BodyText"/>
      </w:pPr>
      <w:r>
        <w:t xml:space="preserve">This document is indispensable for any Financial Analyst practicing within New York State. Unlike federal regulations which apply broadly across the United States, NYDFS regulations often impose stricter requirements on data security, consumer protection, and operational resilience. This resource outlines the specific compliance obligations for analysts handling sensitive financial data in New York City. It highlights the necessity for analysts to understand not just market trends, but the legal boundaries governing their data usage and reporting within the state's jurisdiction.</w:t>
      </w:r>
    </w:p>
    <w:p>
      <w:pPr>
        <w:pStyle w:val="BodyText"/>
      </w:pPr>
      <w:r>
        <w:t xml:space="preserve">Damodaran, A. (2022).</w:t>
      </w:r>
      <w:r>
        <w:t xml:space="preserve"> </w:t>
      </w:r>
      <w:r>
        <w:rPr>
          <w:iCs/>
          <w:i/>
        </w:rPr>
        <w:t xml:space="preserve">Investment Valuation: Tools and Techniques for Determining the Value of Any Asset</w:t>
      </w:r>
      <w:r>
        <w:t xml:space="preserve"> </w:t>
      </w:r>
      <w:r>
        <w:t xml:space="preserve">(4th ed.). Hoboken, NJ: Wiley.</w:t>
      </w:r>
    </w:p>
    <w:p>
      <w:pPr>
        <w:pStyle w:val="BodyText"/>
      </w:pPr>
      <w:r>
        <w:t xml:space="preserve">Aswath Damodaran’s work is a cornerstone text for equity research analysts in New York City. Given the city's concentration of investment banks and asset management firms, the ability to perform complex valuation is a primary job requirement. This book provides the mathematical and theoretical underpinnings for valuing companies in the volatile markets often seen in the US. It is particularly relevant for analysts covering the diverse sectors headquartered in New York, from real estate to media, offering practical tools for navigating the specific risks associated with these industries.</w:t>
      </w:r>
    </w:p>
    <w:p>
      <w:pPr>
        <w:pStyle w:val="BodyText"/>
      </w:pPr>
      <w:r>
        <w:t xml:space="preserve">Federal Reserve Bank of New York. (2023).</w:t>
      </w:r>
      <w:r>
        <w:t xml:space="preserve"> </w:t>
      </w:r>
      <w:r>
        <w:rPr>
          <w:iCs/>
          <w:i/>
        </w:rPr>
        <w:t xml:space="preserve">Libor Transition: The Final Phase</w:t>
      </w:r>
      <w:r>
        <w:t xml:space="preserve">. New York, NY: Federal Reserve Bank of New York.</w:t>
      </w:r>
    </w:p>
    <w:p>
      <w:pPr>
        <w:pStyle w:val="BodyText"/>
      </w:pPr>
      <w:r>
        <w:t xml:space="preserve">This report details the transition away from the London Interbank Offered Rate (LIBOR), a process heavily managed by the Federal Reserve Bank of New York. For Financial Analysts in the city, understanding this shift is crucial as it impacts interest rate derivatives, loans, and valuation models across the US financial system. The document serves as a technical guide for analysts who must adjust their financial models to reflect new reference rates, ensuring accuracy in their forecasts and risk assessments within the New York banking sector.</w:t>
      </w:r>
    </w:p>
    <w:p>
      <w:pPr>
        <w:pStyle w:val="BodyText"/>
      </w:pPr>
      <w:r>
        <w:t xml:space="preserve">Securities and Exchange Commission (SEC). (2023).</w:t>
      </w:r>
      <w:r>
        <w:t xml:space="preserve"> </w:t>
      </w:r>
      <w:r>
        <w:rPr>
          <w:iCs/>
          <w:i/>
        </w:rPr>
        <w:t xml:space="preserve">Regulation Fair Disclosure (Reg FD): Frequently Asked Questions</w:t>
      </w:r>
      <w:r>
        <w:t xml:space="preserve">. Washington, D.C.: SEC.</w:t>
      </w:r>
    </w:p>
    <w:p>
      <w:pPr>
        <w:pStyle w:val="BodyText"/>
      </w:pPr>
      <w:r>
        <w:t xml:space="preserve">Regulation FD is a critical component of the regulatory landscape for Financial Analysts in the United States. This SEC publication clarifies the rules regarding the selective disclosure of material non-public information. In New York City, where analysts frequently interact with corporate management and traders, adherence to Reg FD is essential to prevent insider trading violations. This resource provides practical examples of compliant behavior, helping analysts navigate the high-pressure environment of Wall Street while maintaining legal integrity.</w:t>
      </w:r>
    </w:p>
    <w:p>
      <w:pPr>
        <w:pStyle w:val="BodyText"/>
      </w:pPr>
      <w:r>
        <w:t xml:space="preserve">McKinsey &amp; Company. (2023).</w:t>
      </w:r>
      <w:r>
        <w:t xml:space="preserve"> </w:t>
      </w:r>
      <w:r>
        <w:rPr>
          <w:iCs/>
          <w:i/>
        </w:rPr>
        <w:t xml:space="preserve">The Future of Work in Financial Services: New York City Edition</w:t>
      </w:r>
      <w:r>
        <w:t xml:space="preserve">. New York, NY: McKinsey Global Institute.</w:t>
      </w:r>
    </w:p>
    <w:p>
      <w:pPr>
        <w:pStyle w:val="BodyText"/>
      </w:pPr>
      <w:r>
        <w:t xml:space="preserve">This report analyzes the evolving role of the Financial Analyst in the context of automation and artificial intelligence. It specifically addresses the New York City market, noting how local firms are adopting AI for data processing. The text argues that while routine analysis is being automated, the demand for strategic interpretation and client relationship management in NYC is increasing. It is a vital resource for understanding the future career trajectory of analysts in the city, emphasizing the need for soft skills alongside technical proficiency.</w:t>
      </w:r>
    </w:p>
    <w:p>
      <w:pPr>
        <w:pStyle w:val="BodyText"/>
      </w:pPr>
      <w:r>
        <w:t xml:space="preserve">Bureau of Labor Statistics (BLS). (2024).</w:t>
      </w:r>
      <w:r>
        <w:t xml:space="preserve"> </w:t>
      </w:r>
      <w:r>
        <w:rPr>
          <w:iCs/>
          <w:i/>
        </w:rPr>
        <w:t xml:space="preserve">Occupational Outlook Handbook: Financial Analysts</w:t>
      </w:r>
      <w:r>
        <w:t xml:space="preserve">. U.S. Department of Labor.</w:t>
      </w:r>
    </w:p>
    <w:p>
      <w:pPr>
        <w:pStyle w:val="BodyText"/>
      </w:pPr>
      <w:r>
        <w:t xml:space="preserve">The BLS provides authoritative data on employment trends, wages, and outlook for Financial Analysts across the United States. For those targeting New York City, this resource offers comparative salary data that reflects the city's higher cost of living and concentration of high-paying firms. It also details the educational requirements and typical career paths, providing a factual baseline for anyone planning to enter the profession in the New York metropolitan area.</w:t>
      </w:r>
    </w:p>
    <w:p>
      <w:pPr>
        <w:pStyle w:val="BodyText"/>
      </w:pPr>
      <w:r>
        <w:t xml:space="preserve">New York Stock Exchange (NYSE). (2023).</w:t>
      </w:r>
      <w:r>
        <w:t xml:space="preserve"> </w:t>
      </w:r>
      <w:r>
        <w:rPr>
          <w:iCs/>
          <w:i/>
        </w:rPr>
        <w:t xml:space="preserve">Market Structure and Trading Rules</w:t>
      </w:r>
      <w:r>
        <w:t xml:space="preserve">. New York, NY: NYSE Group.</w:t>
      </w:r>
    </w:p>
    <w:p>
      <w:pPr>
        <w:pStyle w:val="BodyText"/>
      </w:pPr>
      <w:r>
        <w:t xml:space="preserve">As the world's largest stock exchange by market capitalization, the NYSE is central to the work of many Financial Analysts in New York City. This document outlines the rules governing trading, listing requirements, and market transparency. Understanding these rules is essential for analysts who provide recommendations on publicly traded companies. It ensures that analysts comprehend the mechanics of the market where their clients execute trades, providing context for liquidity analysis and market impact assessments specific to the New York exchange.</w:t>
      </w:r>
    </w:p>
    <w:p>
      <w:pPr>
        <w:pStyle w:val="BodyText"/>
      </w:pPr>
      <w:r>
        <w:t xml:space="preserve">Document generated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New York City</dc:title>
  <dc:creator/>
  <dc:language>en</dc:language>
  <cp:keywords/>
  <dcterms:created xsi:type="dcterms:W3CDTF">2026-08-07T13:49:05Z</dcterms:created>
  <dcterms:modified xsi:type="dcterms:W3CDTF">2026-08-07T13:49:05Z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