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Tehran,</w:t>
      </w:r>
      <w:r>
        <w:t xml:space="preserve"> </w:t>
      </w:r>
      <w:r>
        <w:t xml:space="preserve">Iran</w:t>
      </w:r>
    </w:p>
    <w:bookmarkStart w:id="22" w:name="X04e43f94409fbec7d84e0b7ac2abc1cf1372c46"/>
    <w:p>
      <w:pPr>
        <w:pStyle w:val="Heading1"/>
      </w:pPr>
      <w:r>
        <w:t xml:space="preserve">Annotated Bibliography: The Role and Evolution of the Graphic Designer in Tehran, Iran</w:t>
      </w:r>
    </w:p>
    <w:p>
      <w:pPr>
        <w:pStyle w:val="FirstParagraph"/>
      </w:pPr>
      <w:r>
        <w:t xml:space="preserve">This annotated bibliography compiles essential resources regarding the profession of the graphic designer within the specific cultural, political, and economic context of Tehran, Iran. The selected works explore the intersection of traditional Persian aesthetics, modern digital practices, and the unique regulatory environment of the Islamic Republic. These sources are critical for understanding how graphic designers in Tehran navigate censorship, market demands, and artistic expression.</w:t>
      </w:r>
    </w:p>
    <w:bookmarkStart w:id="20" w:name="selected-bibliography"/>
    <w:p>
      <w:pPr>
        <w:pStyle w:val="Heading2"/>
      </w:pPr>
      <w:r>
        <w:t xml:space="preserve">Selected Bibliography</w:t>
      </w:r>
    </w:p>
    <w:p>
      <w:pPr>
        <w:pStyle w:val="FirstParagraph"/>
      </w:pPr>
      <w:r>
        <w:t xml:space="preserve">1. Almasi, M. (2018).</w:t>
      </w:r>
      <w:r>
        <w:t xml:space="preserve"> </w:t>
      </w:r>
      <w:r>
        <w:rPr>
          <w:iCs/>
          <w:i/>
        </w:rPr>
        <w:t xml:space="preserve">Visual Rhetoric in Tehran: Posters and Public Space</w:t>
      </w:r>
      <w:r>
        <w:t xml:space="preserve">. Tehran University Press.</w:t>
      </w:r>
    </w:p>
    <w:p>
      <w:pPr>
        <w:pStyle w:val="BodyText"/>
      </w:pPr>
      <w:r>
        <w:t xml:space="preserve">This seminal work examines the evolution of public graphic design in Tehran over the last three decades. Almasi provides a critical analysis of how graphic designers in the capital city utilize visual rhetoric to communicate political and social messages. The text is particularly relevant for understanding the constraints placed on designers by state regulations and how they creatively circumvent these limitations through symbolism and calligraphy. It serves as a foundational text for any graphic designer operating in the Iranian public sphere.</w:t>
      </w:r>
    </w:p>
    <w:p>
      <w:pPr>
        <w:pStyle w:val="BodyText"/>
      </w:pPr>
      <w:r>
        <w:t xml:space="preserve">2. Farhadi, S. (2020).</w:t>
      </w:r>
      <w:r>
        <w:t xml:space="preserve"> </w:t>
      </w:r>
      <w:r>
        <w:rPr>
          <w:iCs/>
          <w:i/>
        </w:rPr>
        <w:t xml:space="preserve">Digital Identity: Branding Strategies for Iranian Startups</w:t>
      </w:r>
      <w:r>
        <w:t xml:space="preserve">. Tehran: Digital Media Institute.</w:t>
      </w:r>
    </w:p>
    <w:p>
      <w:pPr>
        <w:pStyle w:val="BodyText"/>
      </w:pPr>
      <w:r>
        <w:t xml:space="preserve">Focusing on the burgeoning tech sector in Tehran, Farhadi explores the role of the graphic designer in establishing brand identities for local startups. The book highlights the tension between global design trends and local cultural expectations. It offers practical insights into how designers in Tehran create visual systems that appeal to both domestic audiences and international investors, navigating the complexities of sanctions and digital isolation. This resource is essential for commercial graphic designers in the region.</w:t>
      </w:r>
    </w:p>
    <w:p>
      <w:pPr>
        <w:pStyle w:val="BodyText"/>
      </w:pPr>
      <w:r>
        <w:t xml:space="preserve">3. Hosseini, R. (2015).</w:t>
      </w:r>
      <w:r>
        <w:t xml:space="preserve"> </w:t>
      </w:r>
      <w:r>
        <w:rPr>
          <w:iCs/>
          <w:i/>
        </w:rPr>
        <w:t xml:space="preserve">Calligraphy and Modernism: The Persian Graphic Tradition</w:t>
      </w:r>
      <w:r>
        <w:t xml:space="preserve">. London: I.B. Tauris.</w:t>
      </w:r>
    </w:p>
    <w:p>
      <w:pPr>
        <w:pStyle w:val="BodyText"/>
      </w:pPr>
      <w:r>
        <w:t xml:space="preserve">While published internationally, this text is deeply rooted in the practices of Tehran’s design community. Hosseini traces the lineage of Persian calligraphy and its integration into modern graphic design. For the graphic designer in Tehran, this book is a crucial reference for understanding how to modernize traditional scripts without losing cultural authenticity. It discusses specific case studies from Tehran-based studios that have successfully blended Nasta'liq script with contemporary layout principles.</w:t>
      </w:r>
    </w:p>
    <w:p>
      <w:pPr>
        <w:pStyle w:val="BodyText"/>
      </w:pPr>
      <w:r>
        <w:t xml:space="preserve">4. Karimi, A. (2021).</w:t>
      </w:r>
      <w:r>
        <w:t xml:space="preserve"> </w:t>
      </w:r>
      <w:r>
        <w:rPr>
          <w:iCs/>
          <w:i/>
        </w:rPr>
        <w:t xml:space="preserve">Censorship and Creativity: The Iranian Designer’s Dilemma</w:t>
      </w:r>
      <w:r>
        <w:t xml:space="preserve">. Journal of Middle Eastern Visual Culture, 12(3), 45-67.</w:t>
      </w:r>
    </w:p>
    <w:p>
      <w:pPr>
        <w:pStyle w:val="BodyText"/>
      </w:pPr>
      <w:r>
        <w:t xml:space="preserve">This academic article provides a stark look at the regulatory environment facing graphic designers in Iran. Karimi interviews numerous professionals in Tehran to discuss the impact of censorship on creative output. The article details the specific guidelines regarding imagery, color, and text that designers must adhere to. It is a vital resource for understanding the legal and ethical boundaries within which a graphic designer in Tehran must operate, offering strategies for maintaining artistic integrity under pressure.</w:t>
      </w:r>
    </w:p>
    <w:p>
      <w:pPr>
        <w:pStyle w:val="BodyText"/>
      </w:pPr>
      <w:r>
        <w:t xml:space="preserve">5. Mohammadi, L. (2019).</w:t>
      </w:r>
      <w:r>
        <w:t xml:space="preserve"> </w:t>
      </w:r>
      <w:r>
        <w:rPr>
          <w:iCs/>
          <w:i/>
        </w:rPr>
        <w:t xml:space="preserve">UI/UX Design in the Persian Web: Challenges and Solutions</w:t>
      </w:r>
      <w:r>
        <w:t xml:space="preserve">. Tehran: Tech Press.</w:t>
      </w:r>
    </w:p>
    <w:p>
      <w:pPr>
        <w:pStyle w:val="BodyText"/>
      </w:pPr>
      <w:r>
        <w:t xml:space="preserve">As the digital landscape in Tehran expands, the role of the graphic designer has shifted towards user interface and experience design. Mohammadi’s book addresses the unique challenges of designing for Persian language users, including right-to-left (RTL) layout complexities and cultural color associations. It is a technical guide specifically tailored for graphic designers in Tehran who are transitioning into digital product design, ensuring that interfaces are both functional and culturally resonant.</w:t>
      </w:r>
    </w:p>
    <w:p>
      <w:pPr>
        <w:pStyle w:val="BodyText"/>
      </w:pPr>
      <w:r>
        <w:t xml:space="preserve">6. Naderi, P. (2017).</w:t>
      </w:r>
      <w:r>
        <w:t xml:space="preserve"> </w:t>
      </w:r>
      <w:r>
        <w:rPr>
          <w:iCs/>
          <w:i/>
        </w:rPr>
        <w:t xml:space="preserve">The Tehran Biennale: A Decade of Graphic Innovation</w:t>
      </w:r>
      <w:r>
        <w:t xml:space="preserve">. Tehran: Art Council Publications.</w:t>
      </w:r>
    </w:p>
    <w:p>
      <w:pPr>
        <w:pStyle w:val="BodyText"/>
      </w:pPr>
      <w:r>
        <w:t xml:space="preserve">This catalog documents the graphic design contributions to the Tehran Biennale over ten years. It showcases how graphic designers in the city have used exhibition design, typography, and promotional materials to push artistic boundaries. The collection highlights the collaborative nature of the Tehran design scene and provides inspiration for designers looking to engage with the fine art community. It is an excellent visual reference for contemporary trends in Iranian graphic design.</w:t>
      </w:r>
    </w:p>
    <w:p>
      <w:pPr>
        <w:pStyle w:val="BodyText"/>
      </w:pPr>
      <w:r>
        <w:t xml:space="preserve">7. Rezaei, M. (2022).</w:t>
      </w:r>
      <w:r>
        <w:t xml:space="preserve"> </w:t>
      </w:r>
      <w:r>
        <w:rPr>
          <w:iCs/>
          <w:i/>
        </w:rPr>
        <w:t xml:space="preserve">Freelancing in Tehran: Economic Realities for Creative Professionals</w:t>
      </w:r>
      <w:r>
        <w:t xml:space="preserve">. Tehran: Economic Review.</w:t>
      </w:r>
    </w:p>
    <w:p>
      <w:pPr>
        <w:pStyle w:val="BodyText"/>
      </w:pPr>
      <w:r>
        <w:t xml:space="preserve">This report analyzes the economic conditions affecting freelance graphic designers in Tehran. It covers topics such as pricing strategies, dealing with inflation, and accessing international payment platforms despite sanctions. For any graphic designer considering a career in Tehran, this document provides a realistic overview of the financial landscape. It also discusses the rise of local freelance platforms that are emerging to support the creative economy within Iran.</w:t>
      </w:r>
    </w:p>
    <w:p>
      <w:pPr>
        <w:pStyle w:val="BodyText"/>
      </w:pPr>
      <w:r>
        <w:t xml:space="preserve">8. Sabeti, K. (2016).</w:t>
      </w:r>
      <w:r>
        <w:t xml:space="preserve"> </w:t>
      </w:r>
      <w:r>
        <w:rPr>
          <w:iCs/>
          <w:i/>
        </w:rPr>
        <w:t xml:space="preserve">Typography of the Islamic Republic: State and Society</w:t>
      </w:r>
      <w:r>
        <w:t xml:space="preserve">. Cambridge: Cambridge University Press.</w:t>
      </w:r>
    </w:p>
    <w:p>
      <w:pPr>
        <w:pStyle w:val="BodyText"/>
      </w:pPr>
      <w:r>
        <w:t xml:space="preserve">Sabeti’s work offers a critical examination of how typography has been used to shape national identity in Iran. The book includes extensive analysis of government posters, currency, and public signage in Tehran. It is an important resource for graphic designers who wish to understand the historical context of visual communication in the country. By studying these state-sponsored designs, designers can better understand the visual language that resonates with the Iranian public and how to subvert or reinforce it in their own work.</w:t>
      </w:r>
    </w:p>
    <w:bookmarkEnd w:id="20"/>
    <w:bookmarkStart w:id="21" w:name="conclusion"/>
    <w:p>
      <w:pPr>
        <w:pStyle w:val="Heading2"/>
      </w:pPr>
      <w:r>
        <w:t xml:space="preserve">Conclusion</w:t>
      </w:r>
    </w:p>
    <w:p>
      <w:pPr>
        <w:pStyle w:val="FirstParagraph"/>
      </w:pPr>
      <w:r>
        <w:t xml:space="preserve">The profession of the graphic designer in Tehran, Iran, is defined by a unique blend of artistic heritage, technological adaptation, and political navigation. The resources listed above provide a comprehensive overview of the field, offering both theoretical insights and practical guidance. For any individual or organization seeking to understand or engage with graphic design in this region, these works are indispensable.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Tehran, Iran</dc:title>
  <dc:creator/>
  <dc:language>en</dc:language>
  <cp:keywords/>
  <dcterms:created xsi:type="dcterms:W3CDTF">2026-08-07T06:29:26Z</dcterms:created>
  <dcterms:modified xsi:type="dcterms:W3CDTF">2026-08-07T06:29:26Z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