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8325b4dc0eb64ed324b1d4ca5212f885bc050e5"/>
    <w:p>
      <w:pPr>
        <w:pStyle w:val="Heading2"/>
      </w:pPr>
      <w:r>
        <w:t xml:space="preserve">Graphic Design Practices, Cultural Identity, and Digital Trends in Almaty, Kazakhstan</w:t>
      </w:r>
    </w:p>
    <w:p>
      <w:pPr>
        <w:pStyle w:val="FirstParagraph"/>
      </w:pPr>
      <w:r>
        <w:rPr>
          <w:bCs/>
          <w:b/>
        </w:rPr>
        <w:t xml:space="preserve">Prepared for:</w:t>
      </w:r>
      <w:r>
        <w:t xml:space="preserve"> </w:t>
      </w:r>
      <w:r>
        <w:t xml:space="preserve">Design Professionals and Researchers</w:t>
      </w:r>
      <w:r>
        <w:br/>
      </w:r>
      <w:r>
        <w:rPr>
          <w:bCs/>
          <w:b/>
        </w:rPr>
        <w:t xml:space="preserve">Focus Region:</w:t>
      </w:r>
      <w:r>
        <w:t xml:space="preserve"> </w:t>
      </w:r>
      <w:r>
        <w:t xml:space="preserve">Almaty, Kazakhstan</w:t>
      </w:r>
      <w:r>
        <w:br/>
      </w:r>
      <w:r>
        <w:rPr>
          <w:bCs/>
          <w:b/>
        </w:rPr>
        <w:t xml:space="preserve">Subject:</w:t>
      </w:r>
      <w:r>
        <w:t xml:space="preserve"> </w:t>
      </w:r>
      <w:r>
        <w:t xml:space="preserve">Graphic Designer Role and Industry Context</w:t>
      </w:r>
    </w:p>
    <w:bookmarkEnd w:id="20"/>
    <w:bookmarkEnd w:id="21"/>
    <w:p>
      <w:pPr>
        <w:pStyle w:val="BodyText"/>
      </w:pPr>
      <w:r>
        <w:t xml:space="preserve">This annotated bibliography compiles key resources relevant to the role of the</w:t>
      </w:r>
      <w:r>
        <w:t xml:space="preserve"> </w:t>
      </w:r>
      <w:r>
        <w:rPr>
          <w:bCs/>
          <w:b/>
        </w:rPr>
        <w:t xml:space="preserve">Graphic Designer</w:t>
      </w:r>
      <w:r>
        <w:t xml:space="preserve"> </w:t>
      </w:r>
      <w:r>
        <w:t xml:space="preserve">within the dynamic urban landscape of</w:t>
      </w:r>
      <w:r>
        <w:t xml:space="preserve"> </w:t>
      </w:r>
      <w:r>
        <w:rPr>
          <w:bCs/>
          <w:b/>
        </w:rPr>
        <w:t xml:space="preserve">Almaty, Kazakhstan</w:t>
      </w:r>
      <w:r>
        <w:t xml:space="preserve">. As the cultural and economic hub of the nation, Almaty presents a unique intersection of Soviet-era heritage, rapid modernization, and global digital integration. The selected sources explore visual identity, branding strategies, typography, and the socio-cultural responsibilities of designers operating in this specific Central Asian context. These references are curated to assist professionals in understanding how to create effective visual communication that resonates with local audiences while adhering to international design standards.</w:t>
      </w:r>
    </w:p>
    <w:p>
      <w:pPr>
        <w:pStyle w:val="BodyText"/>
      </w:pPr>
      <w:r>
        <w:t xml:space="preserve">Ablayeva, G. (2021).</w:t>
      </w:r>
      <w:r>
        <w:t xml:space="preserve"> </w:t>
      </w:r>
      <w:r>
        <w:rPr>
          <w:iCs/>
          <w:i/>
        </w:rPr>
        <w:t xml:space="preserve">Visual Identity and National Branding in Post-Soviet Kazakhstan</w:t>
      </w:r>
      <w:r>
        <w:t xml:space="preserve">. Almaty: Kazakh National University Press.</w:t>
      </w:r>
    </w:p>
    <w:p>
      <w:pPr>
        <w:pStyle w:val="BodyText"/>
      </w:pPr>
      <w:r>
        <w:t xml:space="preserve">This academic text provides a critical analysis of how national identity is constructed through graphic design in Kazakhstan. Ablayeva examines the evolution of state symbols, currency design, and public signage in Almaty. For the modern graphic designer in Almaty, this source is essential for understanding the historical weight of visual elements. It argues that effective design must balance modernist aesthetics with traditional Kazakh motifs (such as ornamentation and color symbolism) to avoid cultural appropriation while fostering national pride. The book includes case studies of Almaty-based agencies that successfully integrated these elements into corporate branding.</w:t>
      </w:r>
    </w:p>
    <w:p>
      <w:pPr>
        <w:pStyle w:val="BodyText"/>
      </w:pPr>
      <w:r>
        <w:t xml:space="preserve">Cultural Identity</w:t>
      </w:r>
      <w:r>
        <w:t xml:space="preserve"> </w:t>
      </w:r>
      <w:r>
        <w:t xml:space="preserve">Branding</w:t>
      </w:r>
      <w:r>
        <w:t xml:space="preserve"> </w:t>
      </w:r>
      <w:r>
        <w:t xml:space="preserve">Kazakhstan History</w:t>
      </w:r>
    </w:p>
    <w:p>
      <w:pPr>
        <w:pStyle w:val="BodyText"/>
      </w:pPr>
      <w:r>
        <w:t xml:space="preserve">Central Asia Design Review. (2023).</w:t>
      </w:r>
      <w:r>
        <w:t xml:space="preserve"> </w:t>
      </w:r>
      <w:r>
        <w:rPr>
          <w:iCs/>
          <w:i/>
        </w:rPr>
        <w:t xml:space="preserve">The Rise of Digital Creativity in Almaty: A Market Report</w:t>
      </w:r>
      <w:r>
        <w:t xml:space="preserve">. Retrieved from https://cadreview.kz/almaty-digital-trends</w:t>
      </w:r>
    </w:p>
    <w:p>
      <w:pPr>
        <w:pStyle w:val="BodyText"/>
      </w:pPr>
      <w:r>
        <w:t xml:space="preserve">This industry report offers a data-driven overview of the graphic design market in Almaty as of 2023. It highlights the shift from traditional print media to digital-first strategies, driven by high smartphone penetration and the growth of e-commerce platforms like Kaspi.kz. The report details the skill sets most demanded by Almaty employers, emphasizing UI/UX design, motion graphics, and social media content creation. For a graphic designer seeking employment or freelance opportunities in the city, this document outlines the technical proficiencies required to remain competitive in a rapidly digitizing economy.</w:t>
      </w:r>
    </w:p>
    <w:p>
      <w:pPr>
        <w:pStyle w:val="BodyText"/>
      </w:pPr>
      <w:r>
        <w:t xml:space="preserve">Market Trends</w:t>
      </w:r>
      <w:r>
        <w:t xml:space="preserve"> </w:t>
      </w:r>
      <w:r>
        <w:t xml:space="preserve">Digital Design</w:t>
      </w:r>
      <w:r>
        <w:t xml:space="preserve"> </w:t>
      </w:r>
      <w:r>
        <w:t xml:space="preserve">Employment</w:t>
      </w:r>
    </w:p>
    <w:p>
      <w:pPr>
        <w:pStyle w:val="BodyText"/>
      </w:pPr>
      <w:r>
        <w:t xml:space="preserve">Dosenova, A., &amp; Smith, J. (2022).</w:t>
      </w:r>
      <w:r>
        <w:t xml:space="preserve"> </w:t>
      </w:r>
      <w:r>
        <w:rPr>
          <w:iCs/>
          <w:i/>
        </w:rPr>
        <w:t xml:space="preserve">Typography in Transition: Cyrillic, Latin, and Arabic Scripts in Central Asian Design</w:t>
      </w:r>
      <w:r>
        <w:t xml:space="preserve">. Journal of Eurasian Visual Culture, 14(2), 45-62.</w:t>
      </w:r>
    </w:p>
    <w:p>
      <w:pPr>
        <w:pStyle w:val="BodyText"/>
      </w:pPr>
      <w:r>
        <w:t xml:space="preserve">This journal article addresses a critical challenge for graphic designers in Kazakhstan: the ongoing script transition from Cyrillic to Latin. The authors analyze how typography in Almaty’s public spaces, advertising, and digital interfaces is adapting to this linguistic shift. The paper provides practical guidelines for selecting typefaces that support multilingual legibility and aesthetic harmony. It is particularly relevant for designers working on government projects, educational materials, or international branding in Almaty, where visual clarity across scripts is paramount.</w:t>
      </w:r>
    </w:p>
    <w:p>
      <w:pPr>
        <w:pStyle w:val="BodyText"/>
      </w:pPr>
      <w:r>
        <w:t xml:space="preserve">Typography</w:t>
      </w:r>
      <w:r>
        <w:t xml:space="preserve"> </w:t>
      </w:r>
      <w:r>
        <w:t xml:space="preserve">Linguistics</w:t>
      </w:r>
      <w:r>
        <w:t xml:space="preserve"> </w:t>
      </w:r>
      <w:r>
        <w:t xml:space="preserve">Public Design</w:t>
      </w:r>
    </w:p>
    <w:p>
      <w:pPr>
        <w:pStyle w:val="BodyText"/>
      </w:pPr>
      <w:r>
        <w:t xml:space="preserve">Kazakh Creative Agency Association. (2020).</w:t>
      </w:r>
      <w:r>
        <w:t xml:space="preserve"> </w:t>
      </w:r>
      <w:r>
        <w:rPr>
          <w:iCs/>
          <w:i/>
        </w:rPr>
        <w:t xml:space="preserve">Ethical Guidelines for Commercial Design in Kazakhstan</w:t>
      </w:r>
      <w:r>
        <w:t xml:space="preserve">. Almaty: KCAA Publications.</w:t>
      </w:r>
    </w:p>
    <w:p>
      <w:pPr>
        <w:pStyle w:val="BodyText"/>
      </w:pPr>
      <w:r>
        <w:t xml:space="preserve">Published by a leading professional body in Almaty, this guideline document outlines ethical standards for graphic designers operating in the country. It covers issues such as intellectual property rights, truthful advertising, and cultural sensitivity. Given the growing regulatory environment in Kazakhstan’s advertising sector, this resource is indispensable for designers and agencies. It provides legal and moral frameworks to navigate client requests that may conflict with local laws or cultural norms, ensuring professional integrity in Almaty’s competitive market.</w:t>
      </w:r>
    </w:p>
    <w:p>
      <w:pPr>
        <w:pStyle w:val="BodyText"/>
      </w:pPr>
      <w:r>
        <w:t xml:space="preserve">Ethics</w:t>
      </w:r>
      <w:r>
        <w:t xml:space="preserve"> </w:t>
      </w:r>
      <w:r>
        <w:t xml:space="preserve">Legal Compliance</w:t>
      </w:r>
      <w:r>
        <w:t xml:space="preserve"> </w:t>
      </w:r>
      <w:r>
        <w:t xml:space="preserve">Professional Standards</w:t>
      </w:r>
    </w:p>
    <w:p>
      <w:pPr>
        <w:pStyle w:val="BodyText"/>
      </w:pPr>
      <w:r>
        <w:t xml:space="preserve">Nurpeisov, B. (2019).</w:t>
      </w:r>
      <w:r>
        <w:t xml:space="preserve"> </w:t>
      </w:r>
      <w:r>
        <w:rPr>
          <w:iCs/>
          <w:i/>
        </w:rPr>
        <w:t xml:space="preserve">Urban Aesthetics: Street Art and Public Graphics in Almaty</w:t>
      </w:r>
      <w:r>
        <w:t xml:space="preserve">. Almaty: Urban Press.</w:t>
      </w:r>
    </w:p>
    <w:p>
      <w:pPr>
        <w:pStyle w:val="BodyText"/>
      </w:pPr>
      <w:r>
        <w:t xml:space="preserve">This photographic and analytical study explores the role of graphic design in Almaty’s urban environment, focusing on street art, murals, and public installations. Nurpeisov documents how local designers and artists are transforming the city’s visual landscape, often blending contemporary graphic styles with Kazakh folklore. For designers interested in environmental graphics, wayfinding systems, or community-engaged projects, this book offers inspiration and insight into how visual culture can enhance urban life in Almaty.</w:t>
      </w:r>
    </w:p>
    <w:p>
      <w:pPr>
        <w:pStyle w:val="BodyText"/>
      </w:pPr>
      <w:r>
        <w:t xml:space="preserve">Urban Design</w:t>
      </w:r>
      <w:r>
        <w:t xml:space="preserve"> </w:t>
      </w:r>
      <w:r>
        <w:t xml:space="preserve">Street Art</w:t>
      </w:r>
      <w:r>
        <w:t xml:space="preserve"> </w:t>
      </w:r>
      <w:r>
        <w:t xml:space="preserve">Public Space</w:t>
      </w:r>
    </w:p>
    <w:p>
      <w:pPr>
        <w:pStyle w:val="BodyText"/>
      </w:pPr>
      <w:r>
        <w:t xml:space="preserve">Sadykova, L. (2023).</w:t>
      </w:r>
      <w:r>
        <w:t xml:space="preserve"> </w:t>
      </w:r>
      <w:r>
        <w:rPr>
          <w:iCs/>
          <w:i/>
        </w:rPr>
        <w:t xml:space="preserve">Freelancing in Almaty: Opportunities and Challenges for Creative Professionals</w:t>
      </w:r>
      <w:r>
        <w:t xml:space="preserve">. Central Asia Business Journal, 8(1), 112-125.</w:t>
      </w:r>
    </w:p>
    <w:p>
      <w:pPr>
        <w:pStyle w:val="BodyText"/>
      </w:pPr>
      <w:r>
        <w:t xml:space="preserve">This article provides a practical guide for graphic designers considering freelance work in Almaty. Sadykova discusses the legal requirements for self-employment, tax implications, and strategies for finding clients through local networks and international platforms. The piece highlights the growing acceptance of remote work and the increasing demand for design services from startups in Almaty’s tech sector. It is a valuable resource for designers navigating the administrative and financial aspects of independent practice in Kazakhstan.</w:t>
      </w:r>
    </w:p>
    <w:p>
      <w:pPr>
        <w:pStyle w:val="BodyText"/>
      </w:pPr>
      <w:r>
        <w:t xml:space="preserve">Freelancing</w:t>
      </w:r>
      <w:r>
        <w:t xml:space="preserve"> </w:t>
      </w:r>
      <w:r>
        <w:t xml:space="preserve">Business Strategy</w:t>
      </w:r>
      <w:r>
        <w:t xml:space="preserve"> </w:t>
      </w:r>
      <w:r>
        <w:t xml:space="preserve">Career Development</w:t>
      </w:r>
    </w:p>
    <w:p>
      <w:pPr>
        <w:pStyle w:val="BodyText"/>
      </w:pPr>
      <w:r>
        <w:t xml:space="preserve">Tleubayev, K. (2021).</w:t>
      </w:r>
      <w:r>
        <w:t xml:space="preserve"> </w:t>
      </w:r>
      <w:r>
        <w:rPr>
          <w:iCs/>
          <w:i/>
        </w:rPr>
        <w:t xml:space="preserve">Color Symbolism in Kazakh Culture: A Guide for Designers</w:t>
      </w:r>
      <w:r>
        <w:t xml:space="preserve">. Almaty: Art &amp; Culture Institute.</w:t>
      </w:r>
    </w:p>
    <w:p>
      <w:pPr>
        <w:pStyle w:val="BodyText"/>
      </w:pPr>
      <w:r>
        <w:t xml:space="preserve">This concise reference book explores the cultural meanings of colors in Kazakh tradition and their application in modern graphic design. Tleubayev explains how colors like blue (sky, spirituality), gold (wealth, honor), and green (nature, Islam) are perceived by local audiences. For graphic designers in Almaty working on branding, packaging, or digital interfaces, understanding these associations is crucial for creating emotionally resonant and culturally appropriate designs. The book includes visual examples and practical recommendations.</w:t>
      </w:r>
    </w:p>
    <w:p>
      <w:pPr>
        <w:pStyle w:val="BodyText"/>
      </w:pPr>
      <w:r>
        <w:t xml:space="preserve">Color Theory</w:t>
      </w:r>
      <w:r>
        <w:t xml:space="preserve"> </w:t>
      </w:r>
      <w:r>
        <w:t xml:space="preserve">Cultural Semiotics</w:t>
      </w:r>
      <w:r>
        <w:t xml:space="preserve"> </w:t>
      </w:r>
      <w:r>
        <w:t xml:space="preserve">Branding</w:t>
      </w:r>
    </w:p>
    <w:p>
      <w:pPr>
        <w:pStyle w:val="BodyText"/>
      </w:pPr>
      <w:r>
        <w:t xml:space="preserve">World Design Organization. (2022).</w:t>
      </w:r>
      <w:r>
        <w:t xml:space="preserve"> </w:t>
      </w:r>
      <w:r>
        <w:rPr>
          <w:iCs/>
          <w:i/>
        </w:rPr>
        <w:t xml:space="preserve">Design Education in Central Asia: Case Study of Almaty Universities</w:t>
      </w:r>
      <w:r>
        <w:t xml:space="preserve">. WDO Reports.</w:t>
      </w:r>
    </w:p>
    <w:p>
      <w:pPr>
        <w:pStyle w:val="BodyText"/>
      </w:pPr>
      <w:r>
        <w:t xml:space="preserve">This report evaluates the state of graphic design education in Almaty’s leading universities, including Kazakh National University of Arts and Al-Farabi Kazakh National University. It assesses curriculum relevance, faculty expertise, and student outcomes in the context of global design standards. For employers and educators, this document provides insights into the skill levels of emerging designers in Almaty. It also highlights gaps in training, particularly in digital tools and sustainable design practices, offering a roadmap for future educational improvements.</w:t>
      </w:r>
    </w:p>
    <w:p>
      <w:pPr>
        <w:pStyle w:val="BodyText"/>
      </w:pPr>
      <w:r>
        <w:t xml:space="preserve">Education</w:t>
      </w:r>
      <w:r>
        <w:t xml:space="preserve"> </w:t>
      </w:r>
      <w:r>
        <w:t xml:space="preserve">Curriculum</w:t>
      </w:r>
      <w:r>
        <w:t xml:space="preserve"> </w:t>
      </w:r>
      <w:r>
        <w:t xml:space="preserve">Talent Development</w:t>
      </w:r>
    </w:p>
    <w:p>
      <w:pPr>
        <w:pStyle w:val="BodyText"/>
      </w:pPr>
      <w:r>
        <w:t xml:space="preserve">© 2024 Annotated Bibliography on Graphic Design in Almaty. All rights reserved.</w:t>
      </w:r>
      <w:r>
        <w:br/>
      </w:r>
      <w:r>
        <w:t xml:space="preserve">This document is intended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Almaty, Kazakhstan</dc:title>
  <dc:creator/>
  <dc:language>en</dc:language>
  <cp:keywords/>
  <dcterms:created xsi:type="dcterms:W3CDTF">2026-08-07T03:01:41Z</dcterms:created>
  <dcterms:modified xsi:type="dcterms:W3CDTF">2026-08-07T03:01:41Z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