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65641dc036952e0352c5d206737acec55d427fd"/>
    <w:p>
      <w:pPr>
        <w:pStyle w:val="Heading1"/>
      </w:pPr>
      <w:r>
        <w:t xml:space="preserve">Annotated Bibliography: The Landscape of Graphic Design in Kuala Lumpur, Malaysia</w:t>
      </w:r>
    </w:p>
    <w:p>
      <w:pPr>
        <w:pStyle w:val="FirstParagraph"/>
      </w:pPr>
      <w:r>
        <w:rPr>
          <w:bCs/>
          <w:b/>
        </w:rPr>
        <w:t xml:space="preserve">Introduction:</w:t>
      </w:r>
      <w:r>
        <w:t xml:space="preserve"> </w:t>
      </w:r>
      <w:r>
        <w:t xml:space="preserve">This annotated bibliography compiles key resources regarding the profession of the Graphic Designer within the specific context of Kuala Lumpur, Malaysia. As the capital city and economic hub of the nation, Kuala Lumpur presents a unique environment where traditional Malaysian cultural aesthetics intersect with rapid digital modernization. The selected sources below explore industry standards, cultural influences, educational pathways, and the evolving digital economy that define the role of a Graphic Designer in this region.</w:t>
      </w:r>
    </w:p>
    <w:bookmarkStart w:id="20" w:name="selected-references"/>
    <w:p>
      <w:pPr>
        <w:pStyle w:val="Heading2"/>
      </w:pPr>
      <w:r>
        <w:t xml:space="preserve">Selected References</w:t>
      </w:r>
    </w:p>
    <w:p>
      <w:pPr>
        <w:pStyle w:val="FirstParagraph"/>
      </w:pPr>
      <w:r>
        <w:t xml:space="preserve">Ahmad, R., &amp; Tan, L. (2022).</w:t>
      </w:r>
      <w:r>
        <w:t xml:space="preserve"> </w:t>
      </w:r>
      <w:r>
        <w:rPr>
          <w:iCs/>
          <w:i/>
        </w:rPr>
        <w:t xml:space="preserve">Visual Identity in Southeast Asia: The Malaysian Context</w:t>
      </w:r>
      <w:r>
        <w:t xml:space="preserve">. Kuala Lumpur: University of Malaya Press.</w:t>
      </w:r>
    </w:p>
    <w:p>
      <w:pPr>
        <w:pStyle w:val="BodyText"/>
      </w:pPr>
      <w:r>
        <w:t xml:space="preserve">This academic text provides a comprehensive analysis of how national identity influences graphic design practices in Malaysia. The authors specifically examine case studies from Kuala Lumpur-based agencies, illustrating how designers navigate the multicultural demographics of the city. The book is essential for understanding the cultural sensitivity required when creating visual communications for diverse audiences in the Klang Valley. It highlights the tension between global design trends and local cultural preservation.</w:t>
      </w:r>
    </w:p>
    <w:p>
      <w:pPr>
        <w:pStyle w:val="BodyText"/>
      </w:pPr>
      <w:r>
        <w:t xml:space="preserve">Cultural Identity</w:t>
      </w:r>
      <w:r>
        <w:t xml:space="preserve"> </w:t>
      </w:r>
      <w:r>
        <w:t xml:space="preserve">Malaysian Design</w:t>
      </w:r>
      <w:r>
        <w:t xml:space="preserve"> </w:t>
      </w:r>
      <w:r>
        <w:t xml:space="preserve">Kuala Lumpur Agencies</w:t>
      </w:r>
    </w:p>
    <w:p>
      <w:pPr>
        <w:pStyle w:val="BodyText"/>
      </w:pPr>
      <w:r>
        <w:t xml:space="preserve">Creative Industry Development Corporation (CIDC). (2023).</w:t>
      </w:r>
      <w:r>
        <w:t xml:space="preserve"> </w:t>
      </w:r>
      <w:r>
        <w:rPr>
          <w:iCs/>
          <w:i/>
        </w:rPr>
        <w:t xml:space="preserve">The State of the Creative Economy in Malaysia: Digital Design Sector Report</w:t>
      </w:r>
      <w:r>
        <w:t xml:space="preserve">. Retrieved from cidc.gov.my</w:t>
      </w:r>
    </w:p>
    <w:p>
      <w:pPr>
        <w:pStyle w:val="BodyText"/>
      </w:pPr>
      <w:r>
        <w:t xml:space="preserve">Published by the government body responsible for fostering the creative sector, this report offers statistical data on the growth of the graphic design industry in Malaysia. It details the concentration of design firms in Kuala Lumpur and the increasing demand for digital assets, UI/UX design, and motion graphics. For a Graphic Designer considering employment in Kuala Lumpur, this document provides crucial insights into salary benchmarks, government grants, and the economic viability of freelance versus agency work in the capital.</w:t>
      </w:r>
    </w:p>
    <w:p>
      <w:pPr>
        <w:pStyle w:val="BodyText"/>
      </w:pPr>
      <w:r>
        <w:t xml:space="preserve">Industry Statistics</w:t>
      </w:r>
      <w:r>
        <w:t xml:space="preserve"> </w:t>
      </w:r>
      <w:r>
        <w:t xml:space="preserve">Digital Economy</w:t>
      </w:r>
      <w:r>
        <w:t xml:space="preserve"> </w:t>
      </w:r>
      <w:r>
        <w:t xml:space="preserve">Government Policy</w:t>
      </w:r>
    </w:p>
    <w:p>
      <w:pPr>
        <w:pStyle w:val="BodyText"/>
      </w:pPr>
      <w:r>
        <w:t xml:space="preserve">Chong, S. (2021).</w:t>
      </w:r>
      <w:r>
        <w:t xml:space="preserve"> </w:t>
      </w:r>
      <w:r>
        <w:rPr>
          <w:iCs/>
          <w:i/>
        </w:rPr>
        <w:t xml:space="preserve">Typography and Language: Designing for Multilingual Malaysia</w:t>
      </w:r>
      <w:r>
        <w:t xml:space="preserve">.</w:t>
      </w:r>
      <w:r>
        <w:t xml:space="preserve"> </w:t>
      </w:r>
      <w:r>
        <w:rPr>
          <w:iCs/>
          <w:i/>
        </w:rPr>
        <w:t xml:space="preserve">Journal of Asian Design Studies</w:t>
      </w:r>
      <w:r>
        <w:t xml:space="preserve">, 14(2), 45-62.</w:t>
      </w:r>
    </w:p>
    <w:p>
      <w:pPr>
        <w:pStyle w:val="BodyText"/>
      </w:pPr>
      <w:r>
        <w:t xml:space="preserve">This peer-reviewed article addresses a critical technical challenge for Graphic Designers in Kuala Lumpur: multilingual typography. The author explores the technical and aesthetic complexities of integrating Malay, English, Chinese, and Tamil scripts within a single visual identity system. The study includes practical examples from Kuala Lumpur's public transport and corporate branding, offering actionable advice on font selection and layout hierarchy for designers working in this multilingual environment.</w:t>
      </w:r>
    </w:p>
    <w:p>
      <w:pPr>
        <w:pStyle w:val="BodyText"/>
      </w:pPr>
      <w:r>
        <w:t xml:space="preserve">Typography</w:t>
      </w:r>
      <w:r>
        <w:t xml:space="preserve"> </w:t>
      </w:r>
      <w:r>
        <w:t xml:space="preserve">Multilingual Design</w:t>
      </w:r>
      <w:r>
        <w:t xml:space="preserve"> </w:t>
      </w:r>
      <w:r>
        <w:t xml:space="preserve">Technical Standards</w:t>
      </w:r>
    </w:p>
    <w:p>
      <w:pPr>
        <w:pStyle w:val="BodyText"/>
      </w:pPr>
      <w:r>
        <w:t xml:space="preserve">Design Council Malaysia. (2020).</w:t>
      </w:r>
      <w:r>
        <w:t xml:space="preserve"> </w:t>
      </w:r>
      <w:r>
        <w:rPr>
          <w:iCs/>
          <w:i/>
        </w:rPr>
        <w:t xml:space="preserve">Code of Ethics and Professional Practice for Graphic Designers</w:t>
      </w:r>
      <w:r>
        <w:t xml:space="preserve">. Kuala Lumpur: DCM Publications.</w:t>
      </w:r>
    </w:p>
    <w:p>
      <w:pPr>
        <w:pStyle w:val="BodyText"/>
      </w:pPr>
      <w:r>
        <w:t xml:space="preserve">This document outlines the professional standards expected of Graphic Designers registered with the Design Council Malaysia. It covers intellectual property rights, client relationships, and ethical considerations specific to the Malaysian legal framework. For professionals operating in Kuala Lumpur, this is a mandatory reference to ensure compliance with local regulations regarding copyright and advertising standards, particularly in the highly regulated financial and political sectors of the capital.</w:t>
      </w:r>
    </w:p>
    <w:p>
      <w:pPr>
        <w:pStyle w:val="BodyText"/>
      </w:pPr>
      <w:r>
        <w:t xml:space="preserve">Professional Ethics</w:t>
      </w:r>
      <w:r>
        <w:t xml:space="preserve"> </w:t>
      </w:r>
      <w:r>
        <w:t xml:space="preserve">Legal Compliance</w:t>
      </w:r>
      <w:r>
        <w:t xml:space="preserve"> </w:t>
      </w:r>
      <w:r>
        <w:t xml:space="preserve">Intellectual Property</w:t>
      </w:r>
    </w:p>
    <w:p>
      <w:pPr>
        <w:pStyle w:val="BodyText"/>
      </w:pPr>
      <w:r>
        <w:t xml:space="preserve">Lee, M. (2023).</w:t>
      </w:r>
      <w:r>
        <w:t xml:space="preserve"> </w:t>
      </w:r>
      <w:r>
        <w:rPr>
          <w:iCs/>
          <w:i/>
        </w:rPr>
        <w:t xml:space="preserve">From Print to Pixel: The Evolution of Advertising in Kuala Lumpur</w:t>
      </w:r>
      <w:r>
        <w:t xml:space="preserve">.</w:t>
      </w:r>
      <w:r>
        <w:t xml:space="preserve"> </w:t>
      </w:r>
      <w:r>
        <w:rPr>
          <w:iCs/>
          <w:i/>
        </w:rPr>
        <w:t xml:space="preserve">Malaysian Journal of Communication</w:t>
      </w:r>
      <w:r>
        <w:t xml:space="preserve">, 39(1), 112-130.</w:t>
      </w:r>
    </w:p>
    <w:p>
      <w:pPr>
        <w:pStyle w:val="BodyText"/>
      </w:pPr>
      <w:r>
        <w:t xml:space="preserve">Lee’s research traces the historical shift of graphic design in Kuala Lumpur from print-heavy media to digital-first strategies. The article analyzes how the high internet penetration rate in the Klang Valley has forced traditional print designers to adapt. It serves as a valuable resource for understanding the current skill set requirements for Graphic Designers in the city, emphasizing the necessity of proficiency in digital tools and social media aesthetics alongside traditional layout skills.</w:t>
      </w:r>
    </w:p>
    <w:p>
      <w:pPr>
        <w:pStyle w:val="BodyText"/>
      </w:pPr>
      <w:r>
        <w:t xml:space="preserve">Media Evolution</w:t>
      </w:r>
      <w:r>
        <w:t xml:space="preserve"> </w:t>
      </w:r>
      <w:r>
        <w:t xml:space="preserve">Digital Marketing</w:t>
      </w:r>
      <w:r>
        <w:t xml:space="preserve"> </w:t>
      </w:r>
      <w:r>
        <w:t xml:space="preserve">Advertising Trends</w:t>
      </w:r>
    </w:p>
    <w:p>
      <w:pPr>
        <w:pStyle w:val="BodyText"/>
      </w:pPr>
      <w:r>
        <w:t xml:space="preserve">National University of Malaysia (UKM). (2022).</w:t>
      </w:r>
      <w:r>
        <w:t xml:space="preserve"> </w:t>
      </w:r>
      <w:r>
        <w:rPr>
          <w:iCs/>
          <w:i/>
        </w:rPr>
        <w:t xml:space="preserve">Curriculum Framework for Visual Communication Design</w:t>
      </w:r>
      <w:r>
        <w:t xml:space="preserve">. Bangi: UKM Faculty of Art and Design.</w:t>
      </w:r>
    </w:p>
    <w:p>
      <w:pPr>
        <w:pStyle w:val="BodyText"/>
      </w:pPr>
      <w:r>
        <w:t xml:space="preserve">While based in Bangi, this curriculum framework is widely adopted by design schools in the greater Kuala Lumpur area. It details the foundational and advanced skills required for a Graphic Designer in the modern Malaysian context. The document highlights the integration of technology, such as AI-assisted design and 3D modeling, into the standard education. It is useful for employers in Kuala Lumpur to understand the baseline competencies of fresh graduates entering the local job market.</w:t>
      </w:r>
    </w:p>
    <w:p>
      <w:pPr>
        <w:pStyle w:val="BodyText"/>
      </w:pPr>
      <w:r>
        <w:t xml:space="preserve">Education</w:t>
      </w:r>
      <w:r>
        <w:t xml:space="preserve"> </w:t>
      </w:r>
      <w:r>
        <w:t xml:space="preserve">Curriculum</w:t>
      </w:r>
      <w:r>
        <w:t xml:space="preserve"> </w:t>
      </w:r>
      <w:r>
        <w:t xml:space="preserve">Skills Development</w:t>
      </w:r>
    </w:p>
    <w:p>
      <w:pPr>
        <w:pStyle w:val="BodyText"/>
      </w:pPr>
      <w:r>
        <w:t xml:space="preserve">Rahman, A. (2021).</w:t>
      </w:r>
      <w:r>
        <w:t xml:space="preserve"> </w:t>
      </w:r>
      <w:r>
        <w:rPr>
          <w:iCs/>
          <w:i/>
        </w:rPr>
        <w:t xml:space="preserve">Freelancing in the Hub: A Guide for Creative Professionals in Kuala Lumpur</w:t>
      </w:r>
      <w:r>
        <w:t xml:space="preserve">.</w:t>
      </w:r>
      <w:r>
        <w:t xml:space="preserve"> </w:t>
      </w:r>
      <w:r>
        <w:rPr>
          <w:iCs/>
          <w:i/>
        </w:rPr>
        <w:t xml:space="preserve">KL Creative Blog</w:t>
      </w:r>
      <w:r>
        <w:t xml:space="preserve">.</w:t>
      </w:r>
    </w:p>
    <w:p>
      <w:pPr>
        <w:pStyle w:val="BodyText"/>
      </w:pPr>
      <w:r>
        <w:t xml:space="preserve">This practical guide offers an insider’s perspective on the freelance graphic design scene in Kuala Lumpur. It covers the logistics of working remotely, navigating the local tax system for self-employed creatives, and finding clients within the city’s bustling startup ecosystem. The author provides anecdotal evidence and networking tips specific to Kuala Lumpur’s creative hubs, such as Bangsar and Mont Kiara, making it highly relevant for independent Graphic Designers.</w:t>
      </w:r>
    </w:p>
    <w:p>
      <w:pPr>
        <w:pStyle w:val="BodyText"/>
      </w:pPr>
      <w:r>
        <w:t xml:space="preserve">Freelancing</w:t>
      </w:r>
      <w:r>
        <w:t xml:space="preserve"> </w:t>
      </w:r>
      <w:r>
        <w:t xml:space="preserve">Networking</w:t>
      </w:r>
      <w:r>
        <w:t xml:space="preserve"> </w:t>
      </w:r>
      <w:r>
        <w:t xml:space="preserve">Business Operations</w:t>
      </w:r>
    </w:p>
    <w:p>
      <w:pPr>
        <w:pStyle w:val="BodyText"/>
      </w:pPr>
      <w:r>
        <w:t xml:space="preserve">Siti, N., &amp; Kumar, P. (2023).</w:t>
      </w:r>
      <w:r>
        <w:t xml:space="preserve"> </w:t>
      </w:r>
      <w:r>
        <w:rPr>
          <w:iCs/>
          <w:i/>
        </w:rPr>
        <w:t xml:space="preserve">Sustainable Design Practices in Malaysian Corporate Branding</w:t>
      </w:r>
      <w:r>
        <w:t xml:space="preserve">.</w:t>
      </w:r>
      <w:r>
        <w:t xml:space="preserve"> </w:t>
      </w:r>
      <w:r>
        <w:rPr>
          <w:iCs/>
          <w:i/>
        </w:rPr>
        <w:t xml:space="preserve">Green Design Asia</w:t>
      </w:r>
      <w:r>
        <w:t xml:space="preserve">, 8(3), 78-95.</w:t>
      </w:r>
    </w:p>
    <w:p>
      <w:pPr>
        <w:pStyle w:val="BodyText"/>
      </w:pPr>
      <w:r>
        <w:t xml:space="preserve">This article examines the growing trend of sustainability in graphic design within Kuala Lumpur’s corporate sector. It discusses how Graphic Designers are being tasked with creating eco-friendly packaging and reducing digital waste. The authors present case studies of multinational corporations headquartered in Kuala Lumpur that are adopting green design principles. This resource is critical for designers aiming to align their portfolios with the global and local push towards environmental responsibility.</w:t>
      </w:r>
    </w:p>
    <w:p>
      <w:pPr>
        <w:pStyle w:val="BodyText"/>
      </w:pPr>
      <w:r>
        <w:t xml:space="preserve">Sustainability</w:t>
      </w:r>
      <w:r>
        <w:t xml:space="preserve"> </w:t>
      </w:r>
      <w:r>
        <w:t xml:space="preserve">Corporate Branding</w:t>
      </w:r>
      <w:r>
        <w:t xml:space="preserve"> </w:t>
      </w:r>
      <w:r>
        <w:t xml:space="preserve">Eco-Friendly Design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Kuala Lumpur, Malaysia</dc:title>
  <dc:creator/>
  <dc:language>en</dc:language>
  <cp:keywords/>
  <dcterms:created xsi:type="dcterms:W3CDTF">2026-08-07T20:26:23Z</dcterms:created>
  <dcterms:modified xsi:type="dcterms:W3CDTF">2026-08-07T20:26:23Z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