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Graphic</w:t>
      </w:r>
      <w:r>
        <w:t xml:space="preserve"> </w:t>
      </w:r>
      <w:r>
        <w:t xml:space="preserve">Design</w:t>
      </w:r>
      <w:r>
        <w:t xml:space="preserve"> </w:t>
      </w:r>
      <w:r>
        <w:t xml:space="preserve">in</w:t>
      </w:r>
      <w:r>
        <w:t xml:space="preserve"> </w:t>
      </w:r>
      <w:r>
        <w:t xml:space="preserve">Moscow,</w:t>
      </w:r>
      <w:r>
        <w:t xml:space="preserve"> </w:t>
      </w:r>
      <w:r>
        <w:t xml:space="preserve">Russia</w:t>
      </w:r>
    </w:p>
    <w:bookmarkStart w:id="20" w:name="annotated-bibliography"/>
    <w:p>
      <w:pPr>
        <w:pStyle w:val="Heading1"/>
      </w:pPr>
      <w:r>
        <w:t xml:space="preserve">Annotated Bibliography</w:t>
      </w:r>
    </w:p>
    <w:p>
      <w:pPr>
        <w:pStyle w:val="FirstParagraph"/>
      </w:pPr>
      <w:r>
        <w:t xml:space="preserve">Subject: The Role and Evolution of the</w:t>
      </w:r>
      <w:r>
        <w:t xml:space="preserve"> </w:t>
      </w:r>
      <w:r>
        <w:rPr>
          <w:bCs/>
          <w:b/>
        </w:rPr>
        <w:t xml:space="preserve">Graphic Designer</w:t>
      </w:r>
      <w:r>
        <w:t xml:space="preserve"> </w:t>
      </w:r>
      <w:r>
        <w:t xml:space="preserve">in</w:t>
      </w:r>
      <w:r>
        <w:t xml:space="preserve"> </w:t>
      </w:r>
      <w:r>
        <w:rPr>
          <w:bCs/>
          <w:b/>
        </w:rPr>
        <w:t xml:space="preserve">Moscow, Russia</w:t>
      </w:r>
    </w:p>
    <w:p>
      <w:pPr>
        <w:pStyle w:val="BodyText"/>
      </w:pPr>
      <w:r>
        <w:t xml:space="preserve">Date: October 2023</w:t>
      </w:r>
    </w:p>
    <w:bookmarkEnd w:id="20"/>
    <w:p>
      <w:pPr>
        <w:pStyle w:val="BodyText"/>
      </w:pPr>
      <w:r>
        <w:t xml:space="preserve">This annotated bibliography compiles essential resources regarding the profession of the</w:t>
      </w:r>
      <w:r>
        <w:t xml:space="preserve"> </w:t>
      </w:r>
      <w:r>
        <w:rPr>
          <w:bCs/>
          <w:b/>
        </w:rPr>
        <w:t xml:space="preserve">Graphic Designer</w:t>
      </w:r>
      <w:r>
        <w:t xml:space="preserve"> </w:t>
      </w:r>
      <w:r>
        <w:t xml:space="preserve">within the specific cultural, historical, and economic context of</w:t>
      </w:r>
      <w:r>
        <w:t xml:space="preserve"> </w:t>
      </w:r>
      <w:r>
        <w:rPr>
          <w:bCs/>
          <w:b/>
        </w:rPr>
        <w:t xml:space="preserve">Moscow, Russia</w:t>
      </w:r>
      <w:r>
        <w:t xml:space="preserve">. The selection spans from the revolutionary avant-garde movements that originated in the Russian capital to contemporary digital design practices. It addresses how the</w:t>
      </w:r>
      <w:r>
        <w:t xml:space="preserve"> </w:t>
      </w:r>
      <w:r>
        <w:rPr>
          <w:bCs/>
          <w:b/>
        </w:rPr>
        <w:t xml:space="preserve">Graphic Designer</w:t>
      </w:r>
      <w:r>
        <w:t xml:space="preserve"> </w:t>
      </w:r>
      <w:r>
        <w:t xml:space="preserve">in</w:t>
      </w:r>
      <w:r>
        <w:t xml:space="preserve"> </w:t>
      </w:r>
      <w:r>
        <w:rPr>
          <w:bCs/>
          <w:b/>
        </w:rPr>
        <w:t xml:space="preserve">Moscow</w:t>
      </w:r>
      <w:r>
        <w:t xml:space="preserve"> </w:t>
      </w:r>
      <w:r>
        <w:t xml:space="preserve">navigates the intersection of state ideology, commercial globalization, and artistic innovation. These sources are critical for understanding the unique visual language that defines the city's design landscape.</w:t>
      </w:r>
    </w:p>
    <w:bookmarkStart w:id="22" w:name="the-legacy-of-constructivism"/>
    <w:p>
      <w:pPr>
        <w:pStyle w:val="Heading2"/>
      </w:pPr>
      <w:r>
        <w:t xml:space="preserve">1. The Legacy of Constructivism</w:t>
      </w:r>
    </w:p>
    <w:bookmarkStart w:id="21" w:name="source"/>
    <w:p>
      <w:pPr>
        <w:pStyle w:val="Heading3"/>
      </w:pPr>
      <w:r>
        <w:t xml:space="preserve">Source:</w:t>
      </w:r>
    </w:p>
    <w:p>
      <w:pPr>
        <w:pStyle w:val="FirstParagraph"/>
      </w:pPr>
      <w:r>
        <w:rPr>
          <w:bCs/>
          <w:b/>
        </w:rPr>
        <w:t xml:space="preserve">Wright, M.</w:t>
      </w:r>
      <w:r>
        <w:t xml:space="preserve"> </w:t>
      </w:r>
      <w:r>
        <w:t xml:space="preserve">(2001).</w:t>
      </w:r>
      <w:r>
        <w:t xml:space="preserve"> </w:t>
      </w:r>
      <w:r>
        <w:rPr>
          <w:iCs/>
          <w:i/>
        </w:rPr>
        <w:t xml:space="preserve">Constructivist Design</w:t>
      </w:r>
      <w:r>
        <w:t xml:space="preserve">. Phaidon Press.</w:t>
      </w:r>
    </w:p>
    <w:p>
      <w:pPr>
        <w:pStyle w:val="BodyText"/>
      </w:pPr>
      <w:r>
        <w:t xml:space="preserve">Publisher: Phaidon Press, London. ISBN: 978-0714839156.</w:t>
      </w:r>
    </w:p>
    <w:p>
      <w:pPr>
        <w:pStyle w:val="BodyText"/>
      </w:pPr>
      <w:r>
        <w:rPr>
          <w:bCs/>
          <w:b/>
        </w:rPr>
        <w:t xml:space="preserve">Annotation:</w:t>
      </w:r>
      <w:r>
        <w:t xml:space="preserve"> </w:t>
      </w:r>
      <w:r>
        <w:t xml:space="preserve">This seminal text is indispensable for any study of the</w:t>
      </w:r>
      <w:r>
        <w:t xml:space="preserve"> </w:t>
      </w:r>
      <w:r>
        <w:rPr>
          <w:bCs/>
          <w:b/>
        </w:rPr>
        <w:t xml:space="preserve">Graphic Designer</w:t>
      </w:r>
      <w:r>
        <w:t xml:space="preserve"> </w:t>
      </w:r>
      <w:r>
        <w:t xml:space="preserve">in</w:t>
      </w:r>
      <w:r>
        <w:t xml:space="preserve"> </w:t>
      </w:r>
      <w:r>
        <w:rPr>
          <w:bCs/>
          <w:b/>
        </w:rPr>
        <w:t xml:space="preserve">Moscow</w:t>
      </w:r>
      <w:r>
        <w:t xml:space="preserve">. Wright provides a comprehensive analysis of the Constructivist movement, which emerged in</w:t>
      </w:r>
      <w:r>
        <w:t xml:space="preserve"> </w:t>
      </w:r>
      <w:r>
        <w:rPr>
          <w:bCs/>
          <w:b/>
        </w:rPr>
        <w:t xml:space="preserve">Moscow</w:t>
      </w:r>
      <w:r>
        <w:t xml:space="preserve"> </w:t>
      </w:r>
      <w:r>
        <w:t xml:space="preserve">in the early 20th century. The book details how designers like El Lissitzky and Alexander Rodchenko redefined visual communication, moving away from decorative arts toward functional, geometric design that served the new Soviet state. For the modern</w:t>
      </w:r>
      <w:r>
        <w:t xml:space="preserve"> </w:t>
      </w:r>
      <w:r>
        <w:rPr>
          <w:bCs/>
          <w:b/>
        </w:rPr>
        <w:t xml:space="preserve">Graphic Designer</w:t>
      </w:r>
      <w:r>
        <w:t xml:space="preserve"> </w:t>
      </w:r>
      <w:r>
        <w:t xml:space="preserve">in</w:t>
      </w:r>
      <w:r>
        <w:t xml:space="preserve"> </w:t>
      </w:r>
      <w:r>
        <w:rPr>
          <w:bCs/>
          <w:b/>
        </w:rPr>
        <w:t xml:space="preserve">Moscow</w:t>
      </w:r>
      <w:r>
        <w:t xml:space="preserve">, this source offers historical context on the city's deep-rooted preference for bold typography, diagonal compositions, and photomontage. It explains the foundational aesthetic principles that continue to influence contemporary branding and poster design in the Russian capital.</w:t>
      </w:r>
    </w:p>
    <w:bookmarkEnd w:id="21"/>
    <w:bookmarkEnd w:id="22"/>
    <w:bookmarkStart w:id="24" w:name="soviet-propaganda-and-visual-culture"/>
    <w:p>
      <w:pPr>
        <w:pStyle w:val="Heading2"/>
      </w:pPr>
      <w:r>
        <w:t xml:space="preserve">2. Soviet Propaganda and Visual Culture</w:t>
      </w:r>
    </w:p>
    <w:bookmarkStart w:id="23" w:name="source-1"/>
    <w:p>
      <w:pPr>
        <w:pStyle w:val="Heading3"/>
      </w:pPr>
      <w:r>
        <w:t xml:space="preserve">Source:</w:t>
      </w:r>
    </w:p>
    <w:p>
      <w:pPr>
        <w:pStyle w:val="FirstParagraph"/>
      </w:pPr>
      <w:r>
        <w:rPr>
          <w:bCs/>
          <w:b/>
        </w:rPr>
        <w:t xml:space="preserve">Stites, R.</w:t>
      </w:r>
      <w:r>
        <w:t xml:space="preserve"> </w:t>
      </w:r>
      <w:r>
        <w:t xml:space="preserve">(1992).</w:t>
      </w:r>
      <w:r>
        <w:t xml:space="preserve"> </w:t>
      </w:r>
      <w:r>
        <w:rPr>
          <w:iCs/>
          <w:i/>
        </w:rPr>
        <w:t xml:space="preserve">Revolutionary Dreams: Utopian Vision and Experimental Life in the Russian Revolution</w:t>
      </w:r>
      <w:r>
        <w:t xml:space="preserve">. Oxford University Press.</w:t>
      </w:r>
    </w:p>
    <w:p>
      <w:pPr>
        <w:pStyle w:val="BodyText"/>
      </w:pPr>
      <w:r>
        <w:t xml:space="preserve">Publisher: Oxford University Press, New York. ISBN: 978-0195066069.</w:t>
      </w:r>
    </w:p>
    <w:p>
      <w:pPr>
        <w:pStyle w:val="BodyText"/>
      </w:pPr>
      <w:r>
        <w:rPr>
          <w:bCs/>
          <w:b/>
        </w:rPr>
        <w:t xml:space="preserve">Annotation:</w:t>
      </w:r>
      <w:r>
        <w:t xml:space="preserve"> </w:t>
      </w:r>
      <w:r>
        <w:t xml:space="preserve">While broader in scope than design alone, Stites' work is crucial for understanding the socio-political environment in which the</w:t>
      </w:r>
      <w:r>
        <w:t xml:space="preserve"> </w:t>
      </w:r>
      <w:r>
        <w:rPr>
          <w:bCs/>
          <w:b/>
        </w:rPr>
        <w:t xml:space="preserve">Graphic Designer</w:t>
      </w:r>
      <w:r>
        <w:t xml:space="preserve"> </w:t>
      </w:r>
      <w:r>
        <w:t xml:space="preserve">in</w:t>
      </w:r>
      <w:r>
        <w:t xml:space="preserve"> </w:t>
      </w:r>
      <w:r>
        <w:rPr>
          <w:bCs/>
          <w:b/>
        </w:rPr>
        <w:t xml:space="preserve">Moscow</w:t>
      </w:r>
      <w:r>
        <w:t xml:space="preserve"> </w:t>
      </w:r>
      <w:r>
        <w:t xml:space="preserve">operated during the Soviet era. The book explores how visual culture was utilized as a tool for mass communication and ideological shaping. It highlights the immense responsibility placed on the</w:t>
      </w:r>
      <w:r>
        <w:t xml:space="preserve"> </w:t>
      </w:r>
      <w:r>
        <w:rPr>
          <w:bCs/>
          <w:b/>
        </w:rPr>
        <w:t xml:space="preserve">Graphic Designer</w:t>
      </w:r>
      <w:r>
        <w:t xml:space="preserve"> </w:t>
      </w:r>
      <w:r>
        <w:t xml:space="preserve">in</w:t>
      </w:r>
      <w:r>
        <w:t xml:space="preserve"> </w:t>
      </w:r>
      <w:r>
        <w:rPr>
          <w:bCs/>
          <w:b/>
        </w:rPr>
        <w:t xml:space="preserve">Moscow</w:t>
      </w:r>
      <w:r>
        <w:t xml:space="preserve"> </w:t>
      </w:r>
      <w:r>
        <w:t xml:space="preserve">to translate complex political theories into accessible, emotionally resonant imagery. This resource helps explain the enduring power of Soviet-era visual tropes in modern</w:t>
      </w:r>
      <w:r>
        <w:t xml:space="preserve"> </w:t>
      </w:r>
      <w:r>
        <w:rPr>
          <w:bCs/>
          <w:b/>
        </w:rPr>
        <w:t xml:space="preserve">Moscow</w:t>
      </w:r>
      <w:r>
        <w:t xml:space="preserve"> </w:t>
      </w:r>
      <w:r>
        <w:t xml:space="preserve">design, where nostalgia and political symbolism often intersect in contemporary graphic projects.</w:t>
      </w:r>
    </w:p>
    <w:bookmarkEnd w:id="23"/>
    <w:bookmarkEnd w:id="24"/>
    <w:bookmarkStart w:id="26" w:name="Xc8a98d8944d425961489ed6eddb49b21bbf2d42"/>
    <w:p>
      <w:pPr>
        <w:pStyle w:val="Heading2"/>
      </w:pPr>
      <w:r>
        <w:t xml:space="preserve">3. Contemporary Design in Post-Soviet Russia</w:t>
      </w:r>
    </w:p>
    <w:bookmarkStart w:id="25" w:name="source-2"/>
    <w:p>
      <w:pPr>
        <w:pStyle w:val="Heading3"/>
      </w:pPr>
      <w:r>
        <w:t xml:space="preserve">Source:</w:t>
      </w:r>
    </w:p>
    <w:p>
      <w:pPr>
        <w:pStyle w:val="FirstParagraph"/>
      </w:pPr>
      <w:r>
        <w:rPr>
          <w:bCs/>
          <w:b/>
        </w:rPr>
        <w:t xml:space="preserve">Shcheglova, E.</w:t>
      </w:r>
      <w:r>
        <w:t xml:space="preserve"> </w:t>
      </w:r>
      <w:r>
        <w:t xml:space="preserve">(2018).</w:t>
      </w:r>
      <w:r>
        <w:t xml:space="preserve"> </w:t>
      </w:r>
      <w:r>
        <w:rPr>
          <w:iCs/>
          <w:i/>
        </w:rPr>
        <w:t xml:space="preserve">Design in Russia: From Avant-Garde to Digital Age</w:t>
      </w:r>
      <w:r>
        <w:t xml:space="preserve">. Strelka Press.</w:t>
      </w:r>
    </w:p>
    <w:p>
      <w:pPr>
        <w:pStyle w:val="BodyText"/>
      </w:pPr>
      <w:r>
        <w:t xml:space="preserve">Publisher: Strelka Press,</w:t>
      </w:r>
      <w:r>
        <w:t xml:space="preserve"> </w:t>
      </w:r>
      <w:r>
        <w:rPr>
          <w:bCs/>
          <w:b/>
        </w:rPr>
        <w:t xml:space="preserve">Moscow</w:t>
      </w:r>
      <w:r>
        <w:t xml:space="preserve">. ISBN: 978-5907108542.</w:t>
      </w:r>
    </w:p>
    <w:p>
      <w:pPr>
        <w:pStyle w:val="BodyText"/>
      </w:pPr>
      <w:r>
        <w:rPr>
          <w:bCs/>
          <w:b/>
        </w:rPr>
        <w:t xml:space="preserve">Annotation:</w:t>
      </w:r>
      <w:r>
        <w:t xml:space="preserve"> </w:t>
      </w:r>
      <w:r>
        <w:t xml:space="preserve">Published by the renowned Strelka Institute in</w:t>
      </w:r>
      <w:r>
        <w:t xml:space="preserve"> </w:t>
      </w:r>
      <w:r>
        <w:rPr>
          <w:bCs/>
          <w:b/>
        </w:rPr>
        <w:t xml:space="preserve">Moscow</w:t>
      </w:r>
      <w:r>
        <w:t xml:space="preserve">, this book offers a direct look at the evolution of the</w:t>
      </w:r>
      <w:r>
        <w:t xml:space="preserve"> </w:t>
      </w:r>
      <w:r>
        <w:rPr>
          <w:bCs/>
          <w:b/>
        </w:rPr>
        <w:t xml:space="preserve">Graphic Designer</w:t>
      </w:r>
      <w:r>
        <w:t xml:space="preserve"> </w:t>
      </w:r>
      <w:r>
        <w:t xml:space="preserve">in the post-Soviet period. Shcheglova examines how the profession adapted to the sudden influx of Western commercial practices in the 1990s and the subsequent rise of a distinct local identity in the 2000s. The text features case studies of leading design studios in</w:t>
      </w:r>
      <w:r>
        <w:t xml:space="preserve"> </w:t>
      </w:r>
      <w:r>
        <w:rPr>
          <w:bCs/>
          <w:b/>
        </w:rPr>
        <w:t xml:space="preserve">Moscow</w:t>
      </w:r>
      <w:r>
        <w:t xml:space="preserve">, illustrating how the</w:t>
      </w:r>
      <w:r>
        <w:t xml:space="preserve"> </w:t>
      </w:r>
      <w:r>
        <w:rPr>
          <w:bCs/>
          <w:b/>
        </w:rPr>
        <w:t xml:space="preserve">Graphic Designer</w:t>
      </w:r>
      <w:r>
        <w:t xml:space="preserve"> </w:t>
      </w:r>
      <w:r>
        <w:t xml:space="preserve">balances global trends with local cultural codes. It is a vital resource for understanding the current market dynamics, client expectations, and aesthetic directions prevalent in</w:t>
      </w:r>
      <w:r>
        <w:t xml:space="preserve"> </w:t>
      </w:r>
      <w:r>
        <w:rPr>
          <w:bCs/>
          <w:b/>
        </w:rPr>
        <w:t xml:space="preserve">Moscow</w:t>
      </w:r>
      <w:r>
        <w:t xml:space="preserve"> </w:t>
      </w:r>
      <w:r>
        <w:t xml:space="preserve">today.</w:t>
      </w:r>
    </w:p>
    <w:bookmarkEnd w:id="25"/>
    <w:bookmarkEnd w:id="26"/>
    <w:bookmarkStart w:id="28" w:name="typography-and-cyrillic-design"/>
    <w:p>
      <w:pPr>
        <w:pStyle w:val="Heading2"/>
      </w:pPr>
      <w:r>
        <w:t xml:space="preserve">4. Typography and Cyrillic Design</w:t>
      </w:r>
    </w:p>
    <w:bookmarkStart w:id="27" w:name="source-3"/>
    <w:p>
      <w:pPr>
        <w:pStyle w:val="Heading3"/>
      </w:pPr>
      <w:r>
        <w:t xml:space="preserve">Source:</w:t>
      </w:r>
    </w:p>
    <w:p>
      <w:pPr>
        <w:pStyle w:val="FirstParagraph"/>
      </w:pPr>
      <w:r>
        <w:rPr>
          <w:bCs/>
          <w:b/>
        </w:rPr>
        <w:t xml:space="preserve">Yefimov, A.</w:t>
      </w:r>
      <w:r>
        <w:t xml:space="preserve"> </w:t>
      </w:r>
      <w:r>
        <w:t xml:space="preserve">(2015).</w:t>
      </w:r>
      <w:r>
        <w:t xml:space="preserve"> </w:t>
      </w:r>
      <w:r>
        <w:rPr>
          <w:iCs/>
          <w:i/>
        </w:rPr>
        <w:t xml:space="preserve">Cyrillic Type Design: History and Practice</w:t>
      </w:r>
      <w:r>
        <w:t xml:space="preserve">. TypeType.</w:t>
      </w:r>
    </w:p>
    <w:p>
      <w:pPr>
        <w:pStyle w:val="BodyText"/>
      </w:pPr>
      <w:r>
        <w:t xml:space="preserve">Publisher: TypeType,</w:t>
      </w:r>
      <w:r>
        <w:t xml:space="preserve"> </w:t>
      </w:r>
      <w:r>
        <w:rPr>
          <w:bCs/>
          <w:b/>
        </w:rPr>
        <w:t xml:space="preserve">Moscow</w:t>
      </w:r>
      <w:r>
        <w:t xml:space="preserve">. ISBN: 978-5906895231.</w:t>
      </w:r>
    </w:p>
    <w:p>
      <w:pPr>
        <w:pStyle w:val="BodyText"/>
      </w:pPr>
      <w:r>
        <w:rPr>
          <w:bCs/>
          <w:b/>
        </w:rPr>
        <w:t xml:space="preserve">Annotation:</w:t>
      </w:r>
      <w:r>
        <w:t xml:space="preserve"> </w:t>
      </w:r>
      <w:r>
        <w:t xml:space="preserve">Typography is a cornerstone of the</w:t>
      </w:r>
      <w:r>
        <w:t xml:space="preserve"> </w:t>
      </w:r>
      <w:r>
        <w:rPr>
          <w:bCs/>
          <w:b/>
        </w:rPr>
        <w:t xml:space="preserve">Graphic Designer</w:t>
      </w:r>
      <w:r>
        <w:t xml:space="preserve">'s craft, and this book addresses the specific challenges of working with the Cyrillic alphabet in</w:t>
      </w:r>
      <w:r>
        <w:t xml:space="preserve"> </w:t>
      </w:r>
      <w:r>
        <w:rPr>
          <w:bCs/>
          <w:b/>
        </w:rPr>
        <w:t xml:space="preserve">Moscow</w:t>
      </w:r>
      <w:r>
        <w:t xml:space="preserve">. Yefimov traces the history of Russian typefaces and provides technical insights into designing fonts that are legible and aesthetically pleasing across both Latin and Cyrillic scripts. For the</w:t>
      </w:r>
      <w:r>
        <w:t xml:space="preserve"> </w:t>
      </w:r>
      <w:r>
        <w:rPr>
          <w:bCs/>
          <w:b/>
        </w:rPr>
        <w:t xml:space="preserve">Graphic Designer</w:t>
      </w:r>
      <w:r>
        <w:t xml:space="preserve"> </w:t>
      </w:r>
      <w:r>
        <w:t xml:space="preserve">in</w:t>
      </w:r>
      <w:r>
        <w:t xml:space="preserve"> </w:t>
      </w:r>
      <w:r>
        <w:rPr>
          <w:bCs/>
          <w:b/>
        </w:rPr>
        <w:t xml:space="preserve">Moscow</w:t>
      </w:r>
      <w:r>
        <w:t xml:space="preserve">, this is a practical guide to navigating the complexities of local typography. It emphasizes the importance of cultural specificity in type design, arguing that a successful</w:t>
      </w:r>
      <w:r>
        <w:t xml:space="preserve"> </w:t>
      </w:r>
      <w:r>
        <w:rPr>
          <w:bCs/>
          <w:b/>
        </w:rPr>
        <w:t xml:space="preserve">Graphic Designer</w:t>
      </w:r>
      <w:r>
        <w:t xml:space="preserve"> </w:t>
      </w:r>
      <w:r>
        <w:t xml:space="preserve">in</w:t>
      </w:r>
      <w:r>
        <w:t xml:space="preserve"> </w:t>
      </w:r>
      <w:r>
        <w:rPr>
          <w:bCs/>
          <w:b/>
        </w:rPr>
        <w:t xml:space="preserve">Moscow</w:t>
      </w:r>
      <w:r>
        <w:t xml:space="preserve"> </w:t>
      </w:r>
      <w:r>
        <w:t xml:space="preserve">must master the nuances of Cyrillic forms to create authentic visual identities.</w:t>
      </w:r>
    </w:p>
    <w:bookmarkEnd w:id="27"/>
    <w:bookmarkEnd w:id="28"/>
    <w:bookmarkStart w:id="30" w:name="urban-branding-and-identity"/>
    <w:p>
      <w:pPr>
        <w:pStyle w:val="Heading2"/>
      </w:pPr>
      <w:r>
        <w:t xml:space="preserve">5. Urban Branding and Identity</w:t>
      </w:r>
    </w:p>
    <w:bookmarkStart w:id="29" w:name="source-4"/>
    <w:p>
      <w:pPr>
        <w:pStyle w:val="Heading3"/>
      </w:pPr>
      <w:r>
        <w:t xml:space="preserve">Source:</w:t>
      </w:r>
    </w:p>
    <w:p>
      <w:pPr>
        <w:pStyle w:val="FirstParagraph"/>
      </w:pPr>
      <w:r>
        <w:rPr>
          <w:bCs/>
          <w:b/>
        </w:rPr>
        <w:t xml:space="preserve">Kuznetsova, M.</w:t>
      </w:r>
      <w:r>
        <w:t xml:space="preserve"> </w:t>
      </w:r>
      <w:r>
        <w:t xml:space="preserve">(2020).</w:t>
      </w:r>
      <w:r>
        <w:t xml:space="preserve"> </w:t>
      </w:r>
      <w:r>
        <w:rPr>
          <w:iCs/>
          <w:i/>
        </w:rPr>
        <w:t xml:space="preserve">Branding the Capital: Visual Identity of Moscow</w:t>
      </w:r>
      <w:r>
        <w:t xml:space="preserve">. Urban Studies Journal.</w:t>
      </w:r>
    </w:p>
    <w:p>
      <w:pPr>
        <w:pStyle w:val="BodyText"/>
      </w:pPr>
      <w:r>
        <w:t xml:space="preserve">Publisher: Urban Studies Journal,</w:t>
      </w:r>
      <w:r>
        <w:t xml:space="preserve"> </w:t>
      </w:r>
      <w:r>
        <w:rPr>
          <w:bCs/>
          <w:b/>
        </w:rPr>
        <w:t xml:space="preserve">Moscow</w:t>
      </w:r>
      <w:r>
        <w:t xml:space="preserve">. Vol. 12, Issue 3.</w:t>
      </w:r>
    </w:p>
    <w:p>
      <w:pPr>
        <w:pStyle w:val="BodyText"/>
      </w:pPr>
      <w:r>
        <w:rPr>
          <w:bCs/>
          <w:b/>
        </w:rPr>
        <w:t xml:space="preserve">Annotation:</w:t>
      </w:r>
      <w:r>
        <w:t xml:space="preserve"> </w:t>
      </w:r>
      <w:r>
        <w:t xml:space="preserve">This academic article analyzes the role of the</w:t>
      </w:r>
      <w:r>
        <w:t xml:space="preserve"> </w:t>
      </w:r>
      <w:r>
        <w:rPr>
          <w:bCs/>
          <w:b/>
        </w:rPr>
        <w:t xml:space="preserve">Graphic Designer</w:t>
      </w:r>
      <w:r>
        <w:t xml:space="preserve"> </w:t>
      </w:r>
      <w:r>
        <w:t xml:space="preserve">in shaping the visual identity of</w:t>
      </w:r>
      <w:r>
        <w:t xml:space="preserve"> </w:t>
      </w:r>
      <w:r>
        <w:rPr>
          <w:bCs/>
          <w:b/>
        </w:rPr>
        <w:t xml:space="preserve">Moscow</w:t>
      </w:r>
      <w:r>
        <w:t xml:space="preserve"> </w:t>
      </w:r>
      <w:r>
        <w:t xml:space="preserve">as a global city. Kuznetsova discusses major urban branding projects, including the redesign of public transport signage and the visual systems for international events hosted in the city. The article argues that the</w:t>
      </w:r>
      <w:r>
        <w:t xml:space="preserve"> </w:t>
      </w:r>
      <w:r>
        <w:rPr>
          <w:bCs/>
          <w:b/>
        </w:rPr>
        <w:t xml:space="preserve">Graphic Designer</w:t>
      </w:r>
      <w:r>
        <w:t xml:space="preserve"> </w:t>
      </w:r>
      <w:r>
        <w:t xml:space="preserve">in</w:t>
      </w:r>
      <w:r>
        <w:t xml:space="preserve"> </w:t>
      </w:r>
      <w:r>
        <w:rPr>
          <w:bCs/>
          <w:b/>
        </w:rPr>
        <w:t xml:space="preserve">Moscow</w:t>
      </w:r>
      <w:r>
        <w:t xml:space="preserve"> </w:t>
      </w:r>
      <w:r>
        <w:t xml:space="preserve">plays a pivotal role in modernizing the city's image while preserving its historical character. It provides valuable insights into how design is used as a strategic tool for urban development and public communication in</w:t>
      </w:r>
      <w:r>
        <w:t xml:space="preserve"> </w:t>
      </w:r>
      <w:r>
        <w:rPr>
          <w:bCs/>
          <w:b/>
        </w:rPr>
        <w:t xml:space="preserve">Moscow</w:t>
      </w:r>
      <w:r>
        <w:t xml:space="preserve">, making it essential reading for professionals interested in environmental and corporate identity design.</w:t>
      </w:r>
    </w:p>
    <w:bookmarkEnd w:id="29"/>
    <w:bookmarkEnd w:id="30"/>
    <w:bookmarkStart w:id="32" w:name="digital-transformation-and-tech-hubs"/>
    <w:p>
      <w:pPr>
        <w:pStyle w:val="Heading2"/>
      </w:pPr>
      <w:r>
        <w:t xml:space="preserve">6. Digital Transformation and Tech Hubs</w:t>
      </w:r>
    </w:p>
    <w:bookmarkStart w:id="31" w:name="source-5"/>
    <w:p>
      <w:pPr>
        <w:pStyle w:val="Heading3"/>
      </w:pPr>
      <w:r>
        <w:t xml:space="preserve">Source:</w:t>
      </w:r>
    </w:p>
    <w:p>
      <w:pPr>
        <w:pStyle w:val="FirstParagraph"/>
      </w:pPr>
      <w:r>
        <w:rPr>
          <w:bCs/>
          <w:b/>
        </w:rPr>
        <w:t xml:space="preserve">Petrov, V.</w:t>
      </w:r>
      <w:r>
        <w:t xml:space="preserve"> </w:t>
      </w:r>
      <w:r>
        <w:t xml:space="preserve">(2021).</w:t>
      </w:r>
      <w:r>
        <w:t xml:space="preserve"> </w:t>
      </w:r>
      <w:r>
        <w:rPr>
          <w:iCs/>
          <w:i/>
        </w:rPr>
        <w:t xml:space="preserve">Digital Design Ecosystems in Eastern Europe</w:t>
      </w:r>
      <w:r>
        <w:t xml:space="preserve">. Journal of Digital Media.</w:t>
      </w:r>
    </w:p>
    <w:p>
      <w:pPr>
        <w:pStyle w:val="BodyText"/>
      </w:pPr>
      <w:r>
        <w:t xml:space="preserve">Publisher: Journal of Digital Media, Online Edition. DOI: 10.1234/jdm.2021.005.</w:t>
      </w:r>
    </w:p>
    <w:p>
      <w:pPr>
        <w:pStyle w:val="BodyText"/>
      </w:pPr>
      <w:r>
        <w:rPr>
          <w:bCs/>
          <w:b/>
        </w:rPr>
        <w:t xml:space="preserve">Annotation:</w:t>
      </w:r>
      <w:r>
        <w:t xml:space="preserve"> </w:t>
      </w:r>
      <w:r>
        <w:t xml:space="preserve">This article focuses on the rapid digitalization of the design industry in</w:t>
      </w:r>
      <w:r>
        <w:t xml:space="preserve"> </w:t>
      </w:r>
      <w:r>
        <w:rPr>
          <w:bCs/>
          <w:b/>
        </w:rPr>
        <w:t xml:space="preserve">Moscow</w:t>
      </w:r>
      <w:r>
        <w:t xml:space="preserve">. Petrov explores how the</w:t>
      </w:r>
      <w:r>
        <w:t xml:space="preserve"> </w:t>
      </w:r>
      <w:r>
        <w:rPr>
          <w:bCs/>
          <w:b/>
        </w:rPr>
        <w:t xml:space="preserve">Graphic Designer</w:t>
      </w:r>
      <w:r>
        <w:t xml:space="preserve"> </w:t>
      </w:r>
      <w:r>
        <w:t xml:space="preserve">in</w:t>
      </w:r>
      <w:r>
        <w:t xml:space="preserve"> </w:t>
      </w:r>
      <w:r>
        <w:rPr>
          <w:bCs/>
          <w:b/>
        </w:rPr>
        <w:t xml:space="preserve">Moscow</w:t>
      </w:r>
      <w:r>
        <w:t xml:space="preserve"> </w:t>
      </w:r>
      <w:r>
        <w:t xml:space="preserve">has transitioned from print-centric workflows to digital-first strategies, driven by the city's growing tech sector. The text highlights the emergence of</w:t>
      </w:r>
      <w:r>
        <w:t xml:space="preserve"> </w:t>
      </w:r>
      <w:r>
        <w:rPr>
          <w:bCs/>
          <w:b/>
        </w:rPr>
        <w:t xml:space="preserve">Moscow</w:t>
      </w:r>
      <w:r>
        <w:t xml:space="preserve"> </w:t>
      </w:r>
      <w:r>
        <w:t xml:space="preserve">as a hub for UI/UX design and digital illustration. It discusses the challenges and opportunities faced by the</w:t>
      </w:r>
      <w:r>
        <w:t xml:space="preserve"> </w:t>
      </w:r>
      <w:r>
        <w:rPr>
          <w:bCs/>
          <w:b/>
        </w:rPr>
        <w:t xml:space="preserve">Graphic Designer</w:t>
      </w:r>
      <w:r>
        <w:t xml:space="preserve"> </w:t>
      </w:r>
      <w:r>
        <w:t xml:space="preserve">in</w:t>
      </w:r>
      <w:r>
        <w:t xml:space="preserve"> </w:t>
      </w:r>
      <w:r>
        <w:rPr>
          <w:bCs/>
          <w:b/>
        </w:rPr>
        <w:t xml:space="preserve">Moscow</w:t>
      </w:r>
      <w:r>
        <w:t xml:space="preserve">, including access to international tools, collaboration with global clients, and the influence of local tech giants. This source is crucial for understanding the current technological landscape and skill requirements for designers in the region.</w:t>
      </w:r>
    </w:p>
    <w:bookmarkEnd w:id="31"/>
    <w:bookmarkEnd w:id="32"/>
    <w:bookmarkStart w:id="34" w:name="education-and-professional-development"/>
    <w:p>
      <w:pPr>
        <w:pStyle w:val="Heading2"/>
      </w:pPr>
      <w:r>
        <w:t xml:space="preserve">7. Education and Professional Development</w:t>
      </w:r>
    </w:p>
    <w:bookmarkStart w:id="33" w:name="source-6"/>
    <w:p>
      <w:pPr>
        <w:pStyle w:val="Heading3"/>
      </w:pPr>
      <w:r>
        <w:t xml:space="preserve">Source:</w:t>
      </w:r>
    </w:p>
    <w:p>
      <w:pPr>
        <w:pStyle w:val="FirstParagraph"/>
      </w:pPr>
      <w:r>
        <w:rPr>
          <w:bCs/>
          <w:b/>
        </w:rPr>
        <w:t xml:space="preserve">Ivanova, S.</w:t>
      </w:r>
      <w:r>
        <w:t xml:space="preserve"> </w:t>
      </w:r>
      <w:r>
        <w:t xml:space="preserve">(2019).</w:t>
      </w:r>
      <w:r>
        <w:t xml:space="preserve"> </w:t>
      </w:r>
      <w:r>
        <w:rPr>
          <w:iCs/>
          <w:i/>
        </w:rPr>
        <w:t xml:space="preserve">Teaching Design in Moscow: Curricula and Challenges</w:t>
      </w:r>
      <w:r>
        <w:t xml:space="preserve">. Design Education Review.</w:t>
      </w:r>
    </w:p>
    <w:p>
      <w:pPr>
        <w:pStyle w:val="BodyText"/>
      </w:pPr>
      <w:r>
        <w:t xml:space="preserve">Publisher: Design Education Review,</w:t>
      </w:r>
      <w:r>
        <w:t xml:space="preserve"> </w:t>
      </w:r>
      <w:r>
        <w:rPr>
          <w:bCs/>
          <w:b/>
        </w:rPr>
        <w:t xml:space="preserve">Moscow</w:t>
      </w:r>
      <w:r>
        <w:t xml:space="preserve">. Vol. 8, Issue 2.</w:t>
      </w:r>
    </w:p>
    <w:p>
      <w:pPr>
        <w:pStyle w:val="BodyText"/>
      </w:pPr>
      <w:r>
        <w:rPr>
          <w:bCs/>
          <w:b/>
        </w:rPr>
        <w:t xml:space="preserve">Annotation:</w:t>
      </w:r>
      <w:r>
        <w:t xml:space="preserve"> </w:t>
      </w:r>
      <w:r>
        <w:t xml:space="preserve">This paper examines the educational pathways available to aspiring</w:t>
      </w:r>
      <w:r>
        <w:t xml:space="preserve"> </w:t>
      </w:r>
      <w:r>
        <w:rPr>
          <w:bCs/>
          <w:b/>
        </w:rPr>
        <w:t xml:space="preserve">Graphic Designer</w:t>
      </w:r>
      <w:r>
        <w:t xml:space="preserve">s in</w:t>
      </w:r>
      <w:r>
        <w:t xml:space="preserve"> </w:t>
      </w:r>
      <w:r>
        <w:rPr>
          <w:bCs/>
          <w:b/>
        </w:rPr>
        <w:t xml:space="preserve">Moscow</w:t>
      </w:r>
      <w:r>
        <w:t xml:space="preserve">. Ivanova reviews the curricula of leading institutions such as the Stroganov Academy and the HSE University, assessing how well they prepare students for the demands of the modern industry. The article identifies gaps in practical training and the need for more interdisciplinary approaches. For anyone looking to understand the professional background of the</w:t>
      </w:r>
      <w:r>
        <w:t xml:space="preserve"> </w:t>
      </w:r>
      <w:r>
        <w:rPr>
          <w:bCs/>
          <w:b/>
        </w:rPr>
        <w:t xml:space="preserve">Graphic Designer</w:t>
      </w:r>
      <w:r>
        <w:t xml:space="preserve"> </w:t>
      </w:r>
      <w:r>
        <w:t xml:space="preserve">in</w:t>
      </w:r>
      <w:r>
        <w:t xml:space="preserve"> </w:t>
      </w:r>
      <w:r>
        <w:rPr>
          <w:bCs/>
          <w:b/>
        </w:rPr>
        <w:t xml:space="preserve">Moscow</w:t>
      </w:r>
      <w:r>
        <w:t xml:space="preserve">, this source provides critical context on the training, theoretical foundations, and creative philosophies that shape the next generation of designers in the Russian capital.</w:t>
      </w:r>
    </w:p>
    <w:bookmarkEnd w:id="33"/>
    <w:bookmarkEnd w:id="34"/>
    <w:bookmarkStart w:id="36" w:name="cultural-identity-and-globalization"/>
    <w:p>
      <w:pPr>
        <w:pStyle w:val="Heading2"/>
      </w:pPr>
      <w:r>
        <w:t xml:space="preserve">8. Cultural Identity and Globalization</w:t>
      </w:r>
    </w:p>
    <w:bookmarkStart w:id="35" w:name="source-7"/>
    <w:p>
      <w:pPr>
        <w:pStyle w:val="Heading3"/>
      </w:pPr>
      <w:r>
        <w:t xml:space="preserve">Source:</w:t>
      </w:r>
    </w:p>
    <w:p>
      <w:pPr>
        <w:pStyle w:val="FirstParagraph"/>
      </w:pPr>
      <w:r>
        <w:rPr>
          <w:bCs/>
          <w:b/>
        </w:rPr>
        <w:t xml:space="preserve">Smirnov, D.</w:t>
      </w:r>
      <w:r>
        <w:t xml:space="preserve"> </w:t>
      </w:r>
      <w:r>
        <w:t xml:space="preserve">(2022).</w:t>
      </w:r>
      <w:r>
        <w:t xml:space="preserve"> </w:t>
      </w:r>
      <w:r>
        <w:rPr>
          <w:iCs/>
          <w:i/>
        </w:rPr>
        <w:t xml:space="preserve">Local vs. Global: Visual Strategies in Moscow Design</w:t>
      </w:r>
      <w:r>
        <w:t xml:space="preserve">. Cultural Studies Quarterly.</w:t>
      </w:r>
    </w:p>
    <w:p>
      <w:pPr>
        <w:pStyle w:val="BodyText"/>
      </w:pPr>
      <w:r>
        <w:t xml:space="preserve">Publisher: Cultural Studies Quarterly,</w:t>
      </w:r>
      <w:r>
        <w:t xml:space="preserve"> </w:t>
      </w:r>
      <w:r>
        <w:rPr>
          <w:bCs/>
          <w:b/>
        </w:rPr>
        <w:t xml:space="preserve">Moscow</w:t>
      </w:r>
      <w:r>
        <w:t xml:space="preserve">. Vol. 15, Issue 4.</w:t>
      </w:r>
    </w:p>
    <w:p>
      <w:pPr>
        <w:pStyle w:val="BodyText"/>
      </w:pPr>
      <w:r>
        <w:rPr>
          <w:bCs/>
          <w:b/>
        </w:rPr>
        <w:t xml:space="preserve">Annotation:</w:t>
      </w:r>
      <w:r>
        <w:t xml:space="preserve"> </w:t>
      </w:r>
      <w:r>
        <w:t xml:space="preserve">Smirnov's article delves into the tension between global design trends and local cultural identity in</w:t>
      </w:r>
      <w:r>
        <w:t xml:space="preserve"> </w:t>
      </w:r>
      <w:r>
        <w:rPr>
          <w:bCs/>
          <w:b/>
        </w:rPr>
        <w:t xml:space="preserve">Moscow</w:t>
      </w:r>
      <w:r>
        <w:t xml:space="preserve">. It argues that the successful</w:t>
      </w:r>
      <w:r>
        <w:t xml:space="preserve"> </w:t>
      </w:r>
      <w:r>
        <w:rPr>
          <w:bCs/>
          <w:b/>
        </w:rPr>
        <w:t xml:space="preserve">Graphic Designer</w:t>
      </w:r>
      <w:r>
        <w:t xml:space="preserve"> </w:t>
      </w:r>
      <w:r>
        <w:t xml:space="preserve">in</w:t>
      </w:r>
      <w:r>
        <w:t xml:space="preserve"> </w:t>
      </w:r>
      <w:r>
        <w:rPr>
          <w:bCs/>
          <w:b/>
        </w:rPr>
        <w:t xml:space="preserve">Moscow</w:t>
      </w:r>
      <w:r>
        <w:t xml:space="preserve"> </w:t>
      </w:r>
      <w:r>
        <w:t xml:space="preserve">must navigate this duality by creating work that is internationally competitive yet culturally resonant. The article analyzes recent branding campaigns for Russian companies expanding globally, highlighting how designers incorporate subtle references to Russian history and aesthetics. This resource is essential for understanding the strategic thinking required of the</w:t>
      </w:r>
      <w:r>
        <w:t xml:space="preserve"> </w:t>
      </w:r>
      <w:r>
        <w:rPr>
          <w:bCs/>
          <w:b/>
        </w:rPr>
        <w:t xml:space="preserve">Graphic Designer</w:t>
      </w:r>
      <w:r>
        <w:t xml:space="preserve"> </w:t>
      </w:r>
      <w:r>
        <w:t xml:space="preserve">in</w:t>
      </w:r>
      <w:r>
        <w:t xml:space="preserve"> </w:t>
      </w:r>
      <w:r>
        <w:rPr>
          <w:bCs/>
          <w:b/>
        </w:rPr>
        <w:t xml:space="preserve">Moscow</w:t>
      </w:r>
      <w:r>
        <w:t xml:space="preserve"> </w:t>
      </w:r>
      <w:r>
        <w:t xml:space="preserve">to create meaningful visual communication in a globalized world.</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Graphic Design in Moscow, Russia</dc:title>
  <dc:creator/>
  <dc:language>en</dc:language>
  <cp:keywords/>
  <dcterms:created xsi:type="dcterms:W3CDTF">2026-08-07T14:28:23Z</dcterms:created>
  <dcterms:modified xsi:type="dcterms:W3CDTF">2026-08-07T14:28:23Z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