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Tashkent,</w:t>
      </w:r>
      <w:r>
        <w:t xml:space="preserve"> </w:t>
      </w:r>
      <w:r>
        <w:t xml:space="preserve">Uzbekistan</w:t>
      </w:r>
    </w:p>
    <w:bookmarkStart w:id="24" w:name="X7f32afbb20aabeca12cdad3a2c6a53a5141eeb4"/>
    <w:p>
      <w:pPr>
        <w:pStyle w:val="Heading1"/>
      </w:pPr>
      <w:r>
        <w:t xml:space="preserve">Annotated Bibliography: The Evolution and Practice of the Graphic Designer in Tashkent, Uzbekistan</w:t>
      </w:r>
    </w:p>
    <w:p>
      <w:pPr>
        <w:pStyle w:val="FirstParagraph"/>
      </w:pPr>
      <w:r>
        <w:t xml:space="preserve">The role of the</w:t>
      </w:r>
      <w:r>
        <w:t xml:space="preserve"> </w:t>
      </w:r>
      <w:r>
        <w:rPr>
          <w:bCs/>
          <w:b/>
        </w:rPr>
        <w:t xml:space="preserve">Graphic Designer</w:t>
      </w:r>
      <w:r>
        <w:t xml:space="preserve"> </w:t>
      </w:r>
      <w:r>
        <w:t xml:space="preserve">in</w:t>
      </w:r>
      <w:r>
        <w:t xml:space="preserve"> </w:t>
      </w:r>
      <w:r>
        <w:rPr>
          <w:bCs/>
          <w:b/>
        </w:rPr>
        <w:t xml:space="preserve">Tashkent, Uzbekistan</w:t>
      </w:r>
      <w:r>
        <w:t xml:space="preserve">, has undergone a profound transformation over the last two decades. Moving away from the rigid constraints of Soviet-era constructivism and state-mandated propaganda, contemporary designers in the capital are navigating a complex landscape of national identity revival, rapid digitalization, and global market integration. This annotated bibliography compiles essential resources that explore the historical context, current challenges, and future trajectories of graphic design within this specific cultural and economic environment. The selected works provide a comprehensive overview for students, professionals, and researchers interested in the visual culture of Central Asia.</w:t>
      </w:r>
    </w:p>
    <w:bookmarkStart w:id="20" w:name="historical-context-and-cultural-identity"/>
    <w:p>
      <w:pPr>
        <w:pStyle w:val="Heading2"/>
      </w:pPr>
      <w:r>
        <w:t xml:space="preserve">Historical Context and Cultural Identity</w:t>
      </w:r>
    </w:p>
    <w:p>
      <w:pPr>
        <w:pStyle w:val="FirstParagraph"/>
      </w:pPr>
      <w:r>
        <w:t xml:space="preserve">Akhmedova, D. (2019).</w:t>
      </w:r>
      <w:r>
        <w:t xml:space="preserve"> </w:t>
      </w:r>
      <w:r>
        <w:rPr>
          <w:iCs/>
          <w:i/>
        </w:rPr>
        <w:t xml:space="preserve">Visual Narratives of Independence: Post-Soviet Graphic Design in Uzbekistan</w:t>
      </w:r>
      <w:r>
        <w:t xml:space="preserve">. Tashkent: Uzbekistan Academy of Arts Press.</w:t>
      </w:r>
    </w:p>
    <w:p>
      <w:pPr>
        <w:pStyle w:val="BodyText"/>
      </w:pPr>
      <w:r>
        <w:t xml:space="preserve">This seminal text by local scholar Dilnoza Akhmedova provides a critical analysis of how the</w:t>
      </w:r>
      <w:r>
        <w:t xml:space="preserve"> </w:t>
      </w:r>
      <w:r>
        <w:rPr>
          <w:bCs/>
          <w:b/>
        </w:rPr>
        <w:t xml:space="preserve">Graphic Designer</w:t>
      </w:r>
      <w:r>
        <w:t xml:space="preserve"> </w:t>
      </w:r>
      <w:r>
        <w:t xml:space="preserve">in</w:t>
      </w:r>
      <w:r>
        <w:t xml:space="preserve"> </w:t>
      </w:r>
      <w:r>
        <w:rPr>
          <w:bCs/>
          <w:b/>
        </w:rPr>
        <w:t xml:space="preserve">Tashkent</w:t>
      </w:r>
      <w:r>
        <w:t xml:space="preserve"> </w:t>
      </w:r>
      <w:r>
        <w:t xml:space="preserve">has redefined national aesthetics following the collapse of the USSR. Akhmedova examines the shift from Cyrillic typography to the Latin script and the resurgence of traditional Uzbek motifs, such as the</w:t>
      </w:r>
      <w:r>
        <w:t xml:space="preserve"> </w:t>
      </w:r>
      <w:r>
        <w:rPr>
          <w:iCs/>
          <w:i/>
        </w:rPr>
        <w:t xml:space="preserve">guls</w:t>
      </w:r>
      <w:r>
        <w:t xml:space="preserve"> </w:t>
      </w:r>
      <w:r>
        <w:t xml:space="preserve">(ornamental patterns) found in textiles and ceramics. The book is invaluable for understanding the ideological pressure designers face to balance modernity with heritage. It specifically highlights case studies from Tashkent-based design studios that have successfully integrated historical elements into contemporary branding for state institutions and private enterprises.</w:t>
      </w:r>
    </w:p>
    <w:p>
      <w:pPr>
        <w:pStyle w:val="BodyText"/>
      </w:pPr>
      <w:r>
        <w:t xml:space="preserve">Ruzmetov, B. (2021).</w:t>
      </w:r>
      <w:r>
        <w:t xml:space="preserve"> </w:t>
      </w:r>
      <w:r>
        <w:rPr>
          <w:iCs/>
          <w:i/>
        </w:rPr>
        <w:t xml:space="preserve">From Constructivism to Digital Minimalism: A Century of Visual Communication in Central Asia</w:t>
      </w:r>
      <w:r>
        <w:t xml:space="preserve">. Almaty: Central Asian Design Review.</w:t>
      </w:r>
    </w:p>
    <w:p>
      <w:pPr>
        <w:pStyle w:val="BodyText"/>
      </w:pPr>
      <w:r>
        <w:t xml:space="preserve">While covering the broader region, this work dedicates a significant chapter to the unique trajectory of design in</w:t>
      </w:r>
      <w:r>
        <w:t xml:space="preserve"> </w:t>
      </w:r>
      <w:r>
        <w:rPr>
          <w:bCs/>
          <w:b/>
        </w:rPr>
        <w:t xml:space="preserve">Tashkent</w:t>
      </w:r>
      <w:r>
        <w:t xml:space="preserve">. Ruzmetov argues that the</w:t>
      </w:r>
      <w:r>
        <w:t xml:space="preserve"> </w:t>
      </w:r>
      <w:r>
        <w:rPr>
          <w:bCs/>
          <w:b/>
        </w:rPr>
        <w:t xml:space="preserve">Graphic Designer</w:t>
      </w:r>
      <w:r>
        <w:t xml:space="preserve"> </w:t>
      </w:r>
      <w:r>
        <w:t xml:space="preserve">in Uzbekistan operates within a "dual visual language," where Soviet-era boldness coexists with Islamic geometric precision and Western digital minimalism. The text offers a comparative analysis of Tashkent’s design output against that of Almaty and Bishkek, noting that Tashkent’s designers are currently leading the region in the digitization of traditional crafts. This resource is essential for understanding the historical lineage that informs current design decisions in the capital.</w:t>
      </w:r>
    </w:p>
    <w:bookmarkEnd w:id="20"/>
    <w:bookmarkStart w:id="21" w:name="X71b6f74bcbc9ce3ff8742bd8ddd5d94ac34edb4"/>
    <w:p>
      <w:pPr>
        <w:pStyle w:val="Heading2"/>
      </w:pPr>
      <w:r>
        <w:t xml:space="preserve">Professional Practice and Economic Landscape</w:t>
      </w:r>
    </w:p>
    <w:p>
      <w:pPr>
        <w:pStyle w:val="FirstParagraph"/>
      </w:pPr>
      <w:r>
        <w:t xml:space="preserve">Karimov, S., &amp; Johnson, L. (2022).</w:t>
      </w:r>
      <w:r>
        <w:t xml:space="preserve"> </w:t>
      </w:r>
      <w:r>
        <w:rPr>
          <w:iCs/>
          <w:i/>
        </w:rPr>
        <w:t xml:space="preserve">The Freelance Economy in Tashkent: Opportunities for Creative Professionals</w:t>
      </w:r>
      <w:r>
        <w:t xml:space="preserve">. Journal of Central Asian Economic Studies, 14(2), 45-62.</w:t>
      </w:r>
    </w:p>
    <w:p>
      <w:pPr>
        <w:pStyle w:val="BodyText"/>
      </w:pPr>
      <w:r>
        <w:t xml:space="preserve">This peer-reviewed article investigates the growing freelance sector in</w:t>
      </w:r>
      <w:r>
        <w:t xml:space="preserve"> </w:t>
      </w:r>
      <w:r>
        <w:rPr>
          <w:bCs/>
          <w:b/>
        </w:rPr>
        <w:t xml:space="preserve">Tashkent</w:t>
      </w:r>
      <w:r>
        <w:t xml:space="preserve">, with a specific focus on the</w:t>
      </w:r>
      <w:r>
        <w:t xml:space="preserve"> </w:t>
      </w:r>
      <w:r>
        <w:rPr>
          <w:bCs/>
          <w:b/>
        </w:rPr>
        <w:t xml:space="preserve">Graphic Designer</w:t>
      </w:r>
      <w:r>
        <w:t xml:space="preserve">. Karimov and Johnson highlight how economic reforms in</w:t>
      </w:r>
      <w:r>
        <w:t xml:space="preserve"> </w:t>
      </w:r>
      <w:r>
        <w:rPr>
          <w:bCs/>
          <w:b/>
        </w:rPr>
        <w:t xml:space="preserve">Uzbekistan</w:t>
      </w:r>
      <w:r>
        <w:t xml:space="preserve"> </w:t>
      </w:r>
      <w:r>
        <w:t xml:space="preserve">have lowered barriers to entry for creative entrepreneurs. The study reveals that many designers in Tashkent now work remotely for international clients, bringing global standards of UI/UX and branding back to the local market. The authors provide statistical data on income levels, software accessibility, and the challenges of intellectual property protection in Uzbekistan. It is a crucial read for understanding the business reality of design in the region.</w:t>
      </w:r>
    </w:p>
    <w:p>
      <w:pPr>
        <w:pStyle w:val="BodyText"/>
      </w:pPr>
      <w:r>
        <w:t xml:space="preserve">Tashkent Creative Hub. (2023).</w:t>
      </w:r>
      <w:r>
        <w:t xml:space="preserve"> </w:t>
      </w:r>
      <w:r>
        <w:rPr>
          <w:iCs/>
          <w:i/>
        </w:rPr>
        <w:t xml:space="preserve">Annual Report on the State of Design and Advertising in Uzbekistan</w:t>
      </w:r>
      <w:r>
        <w:t xml:space="preserve">. Tashkent: TCH Publications.</w:t>
      </w:r>
    </w:p>
    <w:p>
      <w:pPr>
        <w:pStyle w:val="BodyText"/>
      </w:pPr>
      <w:r>
        <w:t xml:space="preserve">Published by a leading local industry organization, this report offers a data-driven snapshot of the current market. It details the demand for</w:t>
      </w:r>
      <w:r>
        <w:t xml:space="preserve"> </w:t>
      </w:r>
      <w:r>
        <w:rPr>
          <w:bCs/>
          <w:b/>
        </w:rPr>
        <w:t xml:space="preserve">Graphic Designer</w:t>
      </w:r>
      <w:r>
        <w:t xml:space="preserve"> </w:t>
      </w:r>
      <w:r>
        <w:t xml:space="preserve">services in key sectors such as fintech, tourism, and retail in</w:t>
      </w:r>
      <w:r>
        <w:t xml:space="preserve"> </w:t>
      </w:r>
      <w:r>
        <w:rPr>
          <w:bCs/>
          <w:b/>
        </w:rPr>
        <w:t xml:space="preserve">Tashkent</w:t>
      </w:r>
      <w:r>
        <w:t xml:space="preserve">. The report notes a significant increase in demand for motion graphics and social media content creation, driven by the high smartphone penetration rate in Uzbekistan. Furthermore, it addresses the gap between academic training and industry needs, suggesting that while technical skills are improving, strategic thinking and client communication require further development among young designers in the capital.</w:t>
      </w:r>
    </w:p>
    <w:bookmarkEnd w:id="21"/>
    <w:bookmarkStart w:id="22" w:name="education-and-digital-transformation"/>
    <w:p>
      <w:pPr>
        <w:pStyle w:val="Heading2"/>
      </w:pPr>
      <w:r>
        <w:t xml:space="preserve">Education and Digital Transformation</w:t>
      </w:r>
    </w:p>
    <w:p>
      <w:pPr>
        <w:pStyle w:val="FirstParagraph"/>
      </w:pPr>
      <w:r>
        <w:t xml:space="preserve">Yusupova, M. (2020).</w:t>
      </w:r>
      <w:r>
        <w:t xml:space="preserve"> </w:t>
      </w:r>
      <w:r>
        <w:rPr>
          <w:iCs/>
          <w:i/>
        </w:rPr>
        <w:t xml:space="preserve">Curriculum Reform in Art Education: Preparing the Next Generation of Designers in Tashkent</w:t>
      </w:r>
      <w:r>
        <w:t xml:space="preserve">. International Journal of Art &amp; Design Education, 39(3), 210-225.</w:t>
      </w:r>
    </w:p>
    <w:p>
      <w:pPr>
        <w:pStyle w:val="BodyText"/>
      </w:pPr>
      <w:r>
        <w:t xml:space="preserve">Yusupova’s research focuses on the pedagogical shifts occurring at institutions like the Tashkent State Institute of Arts and Culture. The article argues that the traditional fine arts curriculum is insufficient for the modern</w:t>
      </w:r>
      <w:r>
        <w:t xml:space="preserve"> </w:t>
      </w:r>
      <w:r>
        <w:rPr>
          <w:bCs/>
          <w:b/>
        </w:rPr>
        <w:t xml:space="preserve">Graphic Designer</w:t>
      </w:r>
      <w:r>
        <w:t xml:space="preserve"> </w:t>
      </w:r>
      <w:r>
        <w:t xml:space="preserve">in</w:t>
      </w:r>
      <w:r>
        <w:t xml:space="preserve"> </w:t>
      </w:r>
      <w:r>
        <w:rPr>
          <w:bCs/>
          <w:b/>
        </w:rPr>
        <w:t xml:space="preserve">Uzbekistan</w:t>
      </w:r>
      <w:r>
        <w:t xml:space="preserve">. It advocates for a more interdisciplinary approach that includes coding, marketing, and cultural studies. The study includes interviews with faculty and students, revealing a strong desire among youth to engage with global design trends while maintaining a distinct Uzbek identity. This source is vital for educators and policymakers looking to improve design education in Tashkent.</w:t>
      </w:r>
    </w:p>
    <w:p>
      <w:pPr>
        <w:pStyle w:val="BodyText"/>
      </w:pPr>
      <w:r>
        <w:t xml:space="preserve">Digital Uzbekistan Initiative. (2023).</w:t>
      </w:r>
      <w:r>
        <w:t xml:space="preserve"> </w:t>
      </w:r>
      <w:r>
        <w:rPr>
          <w:iCs/>
          <w:i/>
        </w:rPr>
        <w:t xml:space="preserve">Technology and Creativity: The Role of Software in Modernizing Tashkent’s Design Industry</w:t>
      </w:r>
      <w:r>
        <w:t xml:space="preserve">. Tashkent: Ministry of Digital Development.</w:t>
      </w:r>
    </w:p>
    <w:p>
      <w:pPr>
        <w:pStyle w:val="BodyText"/>
      </w:pPr>
      <w:r>
        <w:t xml:space="preserve">This government-backed publication outlines the infrastructure supporting the creative economy in</w:t>
      </w:r>
      <w:r>
        <w:t xml:space="preserve"> </w:t>
      </w:r>
      <w:r>
        <w:rPr>
          <w:bCs/>
          <w:b/>
        </w:rPr>
        <w:t xml:space="preserve">Tashkent</w:t>
      </w:r>
      <w:r>
        <w:t xml:space="preserve">. It details initiatives to provide affordable access to industry-standard software for</w:t>
      </w:r>
      <w:r>
        <w:t xml:space="preserve"> </w:t>
      </w:r>
      <w:r>
        <w:rPr>
          <w:bCs/>
          <w:b/>
        </w:rPr>
        <w:t xml:space="preserve">Graphic Designer</w:t>
      </w:r>
      <w:r>
        <w:t xml:space="preserve">s and startups. The document emphasizes the role of digital literacy in transforming Uzbekistan into a regional tech hub. It also discusses the rise of local design communities and online platforms where Tashkent-based designers share resources and collaborate. This resource provides insight into the macro-level support systems that are enabling the growth of the design profession in the country.</w:t>
      </w:r>
    </w:p>
    <w:bookmarkEnd w:id="22"/>
    <w:bookmarkStart w:id="23" w:name="global-integration-and-future-trends"/>
    <w:p>
      <w:pPr>
        <w:pStyle w:val="Heading2"/>
      </w:pPr>
      <w:r>
        <w:t xml:space="preserve">Global Integration and Future Trends</w:t>
      </w:r>
    </w:p>
    <w:p>
      <w:pPr>
        <w:pStyle w:val="FirstParagraph"/>
      </w:pPr>
      <w:r>
        <w:t xml:space="preserve">Smith, A. (2022).</w:t>
      </w:r>
      <w:r>
        <w:t xml:space="preserve"> </w:t>
      </w:r>
      <w:r>
        <w:rPr>
          <w:iCs/>
          <w:i/>
        </w:rPr>
        <w:t xml:space="preserve">Central Asian Aesthetics on the Global Stage: Case Studies from Tashkent</w:t>
      </w:r>
      <w:r>
        <w:t xml:space="preserve">. London: Design Futures Press.</w:t>
      </w:r>
    </w:p>
    <w:p>
      <w:pPr>
        <w:pStyle w:val="BodyText"/>
      </w:pPr>
      <w:r>
        <w:t xml:space="preserve">Smith’s book showcases how</w:t>
      </w:r>
      <w:r>
        <w:t xml:space="preserve"> </w:t>
      </w:r>
      <w:r>
        <w:rPr>
          <w:bCs/>
          <w:b/>
        </w:rPr>
        <w:t xml:space="preserve">Graphic Designer</w:t>
      </w:r>
      <w:r>
        <w:t xml:space="preserve">s in</w:t>
      </w:r>
      <w:r>
        <w:t xml:space="preserve"> </w:t>
      </w:r>
      <w:r>
        <w:rPr>
          <w:bCs/>
          <w:b/>
        </w:rPr>
        <w:t xml:space="preserve">Tashkent</w:t>
      </w:r>
      <w:r>
        <w:t xml:space="preserve"> </w:t>
      </w:r>
      <w:r>
        <w:t xml:space="preserve">are gaining international recognition. Through detailed case studies of branding projects for Uzbekistan’s tourism board and cultural festivals, the book illustrates how local designers are exporting a unique visual identity to the world. It challenges the Western-centric view of design by highlighting the sophistication and innovation present in Tashkent’s creative scene. The text is particularly useful for understanding how cultural specificity can be a competitive advantage in the global marketplace.</w:t>
      </w:r>
    </w:p>
    <w:p>
      <w:pPr>
        <w:pStyle w:val="BodyText"/>
      </w:pPr>
      <w:r>
        <w:t xml:space="preserve">Nurillova, Z. (2023).</w:t>
      </w:r>
      <w:r>
        <w:t xml:space="preserve"> </w:t>
      </w:r>
      <w:r>
        <w:rPr>
          <w:iCs/>
          <w:i/>
        </w:rPr>
        <w:t xml:space="preserve">Sustainability and Social Responsibility in Uzbek Graphic Design</w:t>
      </w:r>
      <w:r>
        <w:t xml:space="preserve">. Tashkent: Green Design Forum Proceedings.</w:t>
      </w:r>
    </w:p>
    <w:p>
      <w:pPr>
        <w:pStyle w:val="BodyText"/>
      </w:pPr>
      <w:r>
        <w:t xml:space="preserve">This recent paper explores an emerging trend among</w:t>
      </w:r>
      <w:r>
        <w:t xml:space="preserve"> </w:t>
      </w:r>
      <w:r>
        <w:rPr>
          <w:bCs/>
          <w:b/>
        </w:rPr>
        <w:t xml:space="preserve">Graphic Designer</w:t>
      </w:r>
      <w:r>
        <w:t xml:space="preserve">s in</w:t>
      </w:r>
      <w:r>
        <w:t xml:space="preserve"> </w:t>
      </w:r>
      <w:r>
        <w:rPr>
          <w:bCs/>
          <w:b/>
        </w:rPr>
        <w:t xml:space="preserve">Tashkent</w:t>
      </w:r>
      <w:r>
        <w:t xml:space="preserve">: the integration of sustainability and social responsibility into visual communication. Nurillova discusses how designers are using their skills to raise awareness about environmental issues in Uzbekistan, such as water conservation and waste management. The paper also examines the shift towards eco-friendly printing practices and digital-first strategies to reduce carbon footprints. This resource is forward-looking, indicating a maturation of the design profession in Uzbekistan as it begins to address broader societal challenges.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Tashkent, Uzbekistan</dc:title>
  <dc:creator/>
  <dc:language>en</dc:language>
  <cp:keywords/>
  <dcterms:created xsi:type="dcterms:W3CDTF">2026-08-07T10:04:45Z</dcterms:created>
  <dcterms:modified xsi:type="dcterms:W3CDTF">2026-08-07T10:04:45Z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