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Tashkent,</w:t>
      </w:r>
      <w:r>
        <w:t xml:space="preserve"> </w:t>
      </w:r>
      <w:r>
        <w:t xml:space="preserve">Uzbekistan</w:t>
      </w:r>
    </w:p>
    <w:bookmarkStart w:id="24" w:name="X404a677232fdce1e52e931c92f81194eeeeffce"/>
    <w:p>
      <w:pPr>
        <w:pStyle w:val="Heading1"/>
      </w:pPr>
      <w:r>
        <w:t xml:space="preserve">Annotated Bibliography: Strategic Human Resources Management in Tashkent, Uzbekistan</w:t>
      </w:r>
    </w:p>
    <w:p>
      <w:pPr>
        <w:pStyle w:val="FirstParagraph"/>
      </w:pPr>
      <w:r>
        <w:t xml:space="preserve">This annotated bibliography compiles essential literature regarding the role of the</w:t>
      </w:r>
      <w:r>
        <w:t xml:space="preserve"> </w:t>
      </w:r>
      <w:r>
        <w:t xml:space="preserve">Human Resources Manager</w:t>
      </w:r>
      <w:r>
        <w:t xml:space="preserve"> </w:t>
      </w:r>
      <w:r>
        <w:t xml:space="preserve">within the rapidly evolving economic landscape of</w:t>
      </w:r>
      <w:r>
        <w:t xml:space="preserve"> </w:t>
      </w:r>
      <w:r>
        <w:t xml:space="preserve">Uzbekistan</w:t>
      </w:r>
      <w:r>
        <w:t xml:space="preserve">, with a specific focus on the capital city,</w:t>
      </w:r>
      <w:r>
        <w:t xml:space="preserve"> </w:t>
      </w:r>
      <w:r>
        <w:t xml:space="preserve">Tashkent</w:t>
      </w:r>
      <w:r>
        <w:t xml:space="preserve">. As Uzbekistan continues its transition toward a market-oriented economy, the HR function in Tashkent has shifted from traditional administrative compliance to strategic workforce development. The following sources provide critical insights into labor law, digital transformation, talent acquisition, and organizational culture specific to this region.</w:t>
      </w:r>
    </w:p>
    <w:bookmarkStart w:id="20" w:name="legal-framework-and-labor-compliance"/>
    <w:p>
      <w:pPr>
        <w:pStyle w:val="Heading2"/>
      </w:pPr>
      <w:r>
        <w:t xml:space="preserve">Legal Framework and Labor Compliance</w:t>
      </w:r>
    </w:p>
    <w:p>
      <w:pPr>
        <w:pStyle w:val="FirstParagraph"/>
      </w:pPr>
      <w:r>
        <w:t xml:space="preserve">Ministry of Justice of the Republic of Uzbekistan. (2023).</w:t>
      </w:r>
      <w:r>
        <w:t xml:space="preserve"> </w:t>
      </w:r>
      <w:r>
        <w:rPr>
          <w:iCs/>
          <w:i/>
        </w:rPr>
        <w:t xml:space="preserve">Labor Code of the Republic of Uzbekistan (Amended 2023)</w:t>
      </w:r>
      <w:r>
        <w:t xml:space="preserve">. Tashkent: Ministry of Justice.</w:t>
      </w:r>
    </w:p>
    <w:p>
      <w:pPr>
        <w:pStyle w:val="BodyText"/>
      </w:pPr>
      <w:r>
        <w:t xml:space="preserve">This primary legal document is the cornerstone for any</w:t>
      </w:r>
      <w:r>
        <w:t xml:space="preserve"> </w:t>
      </w:r>
      <w:r>
        <w:t xml:space="preserve">Human Resources Manager</w:t>
      </w:r>
      <w:r>
        <w:t xml:space="preserve"> </w:t>
      </w:r>
      <w:r>
        <w:t xml:space="preserve">operating in</w:t>
      </w:r>
      <w:r>
        <w:t xml:space="preserve"> </w:t>
      </w:r>
      <w:r>
        <w:t xml:space="preserve">Tashkent</w:t>
      </w:r>
      <w:r>
        <w:t xml:space="preserve">. The 2023 amendments reflect the government's push to modernize labor relations, introducing stricter regulations on remote work, flexible hours, and employee protection. For HR professionals in Tashkent's growing tech and financial sectors, this text is vital for ensuring organizational compliance. It details the legal requirements for employment contracts, termination procedures, and social security contributions, which are critical for mitigating legal risk in the capital's competitive business environment.</w:t>
      </w:r>
    </w:p>
    <w:p>
      <w:pPr>
        <w:pStyle w:val="BodyText"/>
      </w:pPr>
      <w:r>
        <w:t xml:space="preserve">Karimov, A., &amp; Yusupova, D. (2022).</w:t>
      </w:r>
      <w:r>
        <w:t xml:space="preserve"> </w:t>
      </w:r>
      <w:r>
        <w:rPr>
          <w:iCs/>
          <w:i/>
        </w:rPr>
        <w:t xml:space="preserve">Regulatory Challenges in Uzbek Labor Markets: A Guide for Corporate HR</w:t>
      </w:r>
      <w:r>
        <w:t xml:space="preserve">. Tashkent: Uzbekistan Economic Research Center.</w:t>
      </w:r>
    </w:p>
    <w:p>
      <w:pPr>
        <w:pStyle w:val="BodyText"/>
      </w:pPr>
      <w:r>
        <w:t xml:space="preserve">This report analyzes the practical application of labor laws in</w:t>
      </w:r>
      <w:r>
        <w:t xml:space="preserve"> </w:t>
      </w:r>
      <w:r>
        <w:t xml:space="preserve">Uzbekistan</w:t>
      </w:r>
      <w:r>
        <w:t xml:space="preserve">, highlighting the gap between statutory requirements and corporate practice in</w:t>
      </w:r>
      <w:r>
        <w:t xml:space="preserve"> </w:t>
      </w:r>
      <w:r>
        <w:t xml:space="preserve">Tashkent</w:t>
      </w:r>
      <w:r>
        <w:t xml:space="preserve">. The authors argue that many</w:t>
      </w:r>
      <w:r>
        <w:t xml:space="preserve"> </w:t>
      </w:r>
      <w:r>
        <w:t xml:space="preserve">Human Resources Managers</w:t>
      </w:r>
      <w:r>
        <w:t xml:space="preserve"> </w:t>
      </w:r>
      <w:r>
        <w:t xml:space="preserve">in the capital struggle with the rapid pace of legislative changes. The text offers actionable strategies for navigating bureaucratic hurdles, particularly regarding work permits for expatriate specialists and the registration of local employees. It is an essential resource for HR leaders seeking to streamline compliance processes while maintaining ethical labor standards.</w:t>
      </w:r>
    </w:p>
    <w:bookmarkEnd w:id="20"/>
    <w:bookmarkStart w:id="21" w:name="Xc622647216604343e4522db3a41e37b3cdeefd7"/>
    <w:p>
      <w:pPr>
        <w:pStyle w:val="Heading2"/>
      </w:pPr>
      <w:r>
        <w:t xml:space="preserve">Talent Acquisition and Workforce Development</w:t>
      </w:r>
    </w:p>
    <w:p>
      <w:pPr>
        <w:pStyle w:val="FirstParagraph"/>
      </w:pPr>
      <w:r>
        <w:t xml:space="preserve">World Bank Group. (2023).</w:t>
      </w:r>
      <w:r>
        <w:t xml:space="preserve"> </w:t>
      </w:r>
      <w:r>
        <w:rPr>
          <w:iCs/>
          <w:i/>
        </w:rPr>
        <w:t xml:space="preserve">Uzbekistan Economic Update: Investing in Human Capital</w:t>
      </w:r>
      <w:r>
        <w:t xml:space="preserve">. Washington, DC: World Bank.</w:t>
      </w:r>
    </w:p>
    <w:p>
      <w:pPr>
        <w:pStyle w:val="BodyText"/>
      </w:pPr>
      <w:r>
        <w:t xml:space="preserve">While a macroeconomic report, this document is highly relevant to the</w:t>
      </w:r>
      <w:r>
        <w:t xml:space="preserve"> </w:t>
      </w:r>
      <w:r>
        <w:t xml:space="preserve">Human Resources Manager</w:t>
      </w:r>
      <w:r>
        <w:t xml:space="preserve"> </w:t>
      </w:r>
      <w:r>
        <w:t xml:space="preserve">in</w:t>
      </w:r>
      <w:r>
        <w:t xml:space="preserve"> </w:t>
      </w:r>
      <w:r>
        <w:t xml:space="preserve">Tashkent</w:t>
      </w:r>
      <w:r>
        <w:t xml:space="preserve"> </w:t>
      </w:r>
      <w:r>
        <w:t xml:space="preserve">due to its focus on skills gaps. The report identifies a significant mismatch between university curricula and the needs of the private sector in the capital. For HR professionals, this data is crucial for designing internal training programs and defining recruitment criteria. It underscores the necessity for HR managers in Tashkent to prioritize continuous learning and upskilling initiatives to bridge the gap between academic theory and practical business requirements.</w:t>
      </w:r>
    </w:p>
    <w:p>
      <w:pPr>
        <w:pStyle w:val="BodyText"/>
      </w:pPr>
      <w:r>
        <w:t xml:space="preserve">Nigmatullayev, B. (2021).</w:t>
      </w:r>
      <w:r>
        <w:t xml:space="preserve"> </w:t>
      </w:r>
      <w:r>
        <w:rPr>
          <w:iCs/>
          <w:i/>
        </w:rPr>
        <w:t xml:space="preserve">Recruitment Strategies in Central Asia: The Tashkent Case Study</w:t>
      </w:r>
      <w:r>
        <w:t xml:space="preserve">. Journal of Central Asian Business Studies, 15(2), 45-62.</w:t>
      </w:r>
    </w:p>
    <w:p>
      <w:pPr>
        <w:pStyle w:val="BodyText"/>
      </w:pPr>
      <w:r>
        <w:t xml:space="preserve">This academic article provides a deep dive into the recruitment landscape of</w:t>
      </w:r>
      <w:r>
        <w:t xml:space="preserve"> </w:t>
      </w:r>
      <w:r>
        <w:t xml:space="preserve">Tashkent</w:t>
      </w:r>
      <w:r>
        <w:t xml:space="preserve">. Nigmatullayev examines how</w:t>
      </w:r>
      <w:r>
        <w:t xml:space="preserve"> </w:t>
      </w:r>
      <w:r>
        <w:t xml:space="preserve">Human Resources Managers</w:t>
      </w:r>
      <w:r>
        <w:t xml:space="preserve"> </w:t>
      </w:r>
      <w:r>
        <w:t xml:space="preserve">are adapting to a younger, more digitally savvy workforce. The study highlights the increasing reliance on digital platforms and social media for talent acquisition in</w:t>
      </w:r>
      <w:r>
        <w:t xml:space="preserve"> </w:t>
      </w:r>
      <w:r>
        <w:t xml:space="preserve">Uzbekistan</w:t>
      </w:r>
      <w:r>
        <w:t xml:space="preserve">. It also discusses the cultural nuances of interviewing and selection in the region, offering HR practitioners valuable insights into building employer brands that resonate with local talent in the capital city.</w:t>
      </w:r>
    </w:p>
    <w:bookmarkEnd w:id="21"/>
    <w:bookmarkStart w:id="22" w:name="organizational-culture-and-leadership"/>
    <w:p>
      <w:pPr>
        <w:pStyle w:val="Heading2"/>
      </w:pPr>
      <w:r>
        <w:t xml:space="preserve">Organizational Culture and Leadership</w:t>
      </w:r>
    </w:p>
    <w:p>
      <w:pPr>
        <w:pStyle w:val="FirstParagraph"/>
      </w:pPr>
      <w:r>
        <w:t xml:space="preserve">Smith, J., &amp; Rahimov, K. (2022).</w:t>
      </w:r>
      <w:r>
        <w:t xml:space="preserve"> </w:t>
      </w:r>
      <w:r>
        <w:rPr>
          <w:iCs/>
          <w:i/>
        </w:rPr>
        <w:t xml:space="preserve">Cross-Cultural Management in Uzbekistan: Bridging Tradition and Modernity</w:t>
      </w:r>
      <w:r>
        <w:t xml:space="preserve">. London: Routledge.</w:t>
      </w:r>
    </w:p>
    <w:p>
      <w:pPr>
        <w:pStyle w:val="BodyText"/>
      </w:pPr>
      <w:r>
        <w:t xml:space="preserve">As multinational corporations establish regional hubs in</w:t>
      </w:r>
      <w:r>
        <w:t xml:space="preserve"> </w:t>
      </w:r>
      <w:r>
        <w:t xml:space="preserve">Tashkent</w:t>
      </w:r>
      <w:r>
        <w:t xml:space="preserve">, the role of the</w:t>
      </w:r>
      <w:r>
        <w:t xml:space="preserve"> </w:t>
      </w:r>
      <w:r>
        <w:t xml:space="preserve">Human Resources Manager</w:t>
      </w:r>
      <w:r>
        <w:t xml:space="preserve"> </w:t>
      </w:r>
      <w:r>
        <w:t xml:space="preserve">as a cultural broker becomes paramount. This book explores the intersection of traditional Uzbek hierarchical values and modern Western management practices. It provides frameworks for HR leaders to manage diverse teams, resolve conflicts, and foster inclusive workplace cultures. For HR managers in</w:t>
      </w:r>
      <w:r>
        <w:t xml:space="preserve"> </w:t>
      </w:r>
      <w:r>
        <w:t xml:space="preserve">Uzbekistan</w:t>
      </w:r>
      <w:r>
        <w:t xml:space="preserve">, this text is indispensable for navigating the complexities of leading teams that may span different generations and cultural backgrounds.</w:t>
      </w:r>
    </w:p>
    <w:p>
      <w:pPr>
        <w:pStyle w:val="BodyText"/>
      </w:pPr>
      <w:r>
        <w:t xml:space="preserve">Tashkent City Executive Committee. (2023).</w:t>
      </w:r>
      <w:r>
        <w:t xml:space="preserve"> </w:t>
      </w:r>
      <w:r>
        <w:rPr>
          <w:iCs/>
          <w:i/>
        </w:rPr>
        <w:t xml:space="preserve">Annual Report on Labor Market Dynamics and Employment Trends</w:t>
      </w:r>
      <w:r>
        <w:t xml:space="preserve">. Tashkent: Tashkent City Hall.</w:t>
      </w:r>
    </w:p>
    <w:p>
      <w:pPr>
        <w:pStyle w:val="BodyText"/>
      </w:pPr>
      <w:r>
        <w:t xml:space="preserve">This official government publication offers localized data on employment trends specifically within</w:t>
      </w:r>
      <w:r>
        <w:t xml:space="preserve"> </w:t>
      </w:r>
      <w:r>
        <w:t xml:space="preserve">Tashkent</w:t>
      </w:r>
      <w:r>
        <w:t xml:space="preserve">. It details wage benchmarks, unemployment rates, and sector-specific labor demands. For a</w:t>
      </w:r>
      <w:r>
        <w:t xml:space="preserve"> </w:t>
      </w:r>
      <w:r>
        <w:t xml:space="preserve">Human Resources Manager</w:t>
      </w:r>
      <w:r>
        <w:t xml:space="preserve">, this report is a critical tool for compensation planning and workforce forecasting. It enables HR professionals to align their salary structures with market realities in the capital, ensuring competitiveness in attracting top talent while managing labor costs effectively.</w:t>
      </w:r>
    </w:p>
    <w:bookmarkEnd w:id="22"/>
    <w:bookmarkStart w:id="23" w:name="digital-transformation-in-hr"/>
    <w:p>
      <w:pPr>
        <w:pStyle w:val="Heading2"/>
      </w:pPr>
      <w:r>
        <w:t xml:space="preserve">Digital Transformation in HR</w:t>
      </w:r>
    </w:p>
    <w:p>
      <w:pPr>
        <w:pStyle w:val="FirstParagraph"/>
      </w:pPr>
      <w:r>
        <w:t xml:space="preserve">International Labour Organization (ILO). (2023).</w:t>
      </w:r>
      <w:r>
        <w:t xml:space="preserve"> </w:t>
      </w:r>
      <w:r>
        <w:rPr>
          <w:iCs/>
          <w:i/>
        </w:rPr>
        <w:t xml:space="preserve">Digitalization of HR Services in Central Asia: Opportunities and Risks</w:t>
      </w:r>
      <w:r>
        <w:t xml:space="preserve">. Geneva: ILO.</w:t>
      </w:r>
    </w:p>
    <w:p>
      <w:pPr>
        <w:pStyle w:val="BodyText"/>
      </w:pPr>
      <w:r>
        <w:t xml:space="preserve">This report addresses the rapid adoption of HR technology in</w:t>
      </w:r>
      <w:r>
        <w:t xml:space="preserve"> </w:t>
      </w:r>
      <w:r>
        <w:t xml:space="preserve">Uzbekistan</w:t>
      </w:r>
      <w:r>
        <w:t xml:space="preserve">, with a specific focus on urban centers like</w:t>
      </w:r>
      <w:r>
        <w:t xml:space="preserve"> </w:t>
      </w:r>
      <w:r>
        <w:t xml:space="preserve">Tashkent</w:t>
      </w:r>
      <w:r>
        <w:t xml:space="preserve">. It outlines how</w:t>
      </w:r>
      <w:r>
        <w:t xml:space="preserve"> </w:t>
      </w:r>
      <w:r>
        <w:t xml:space="preserve">Human Resources Managers</w:t>
      </w:r>
      <w:r>
        <w:t xml:space="preserve"> </w:t>
      </w:r>
      <w:r>
        <w:t xml:space="preserve">are leveraging HRIS (Human Resource Information Systems) to automate payroll, attendance, and performance management. The document also warns of potential risks, including data privacy concerns and the digital divide. It serves as a strategic guide for HR leaders in Tashkent looking to modernize their operations while ensuring ethical and secure use of employee data.</w:t>
      </w:r>
    </w:p>
    <w:p>
      <w:pPr>
        <w:pStyle w:val="BodyText"/>
      </w:pPr>
      <w:r>
        <w:t xml:space="preserve">Azimova, L. (2024).</w:t>
      </w:r>
      <w:r>
        <w:t xml:space="preserve"> </w:t>
      </w:r>
      <w:r>
        <w:rPr>
          <w:iCs/>
          <w:i/>
        </w:rPr>
        <w:t xml:space="preserve">The Future of Work in Tashkent: Remote Work and Employee Well-being</w:t>
      </w:r>
      <w:r>
        <w:t xml:space="preserve">. Central Asian Journal of Management, 8(1), 112-128.</w:t>
      </w:r>
    </w:p>
    <w:p>
      <w:pPr>
        <w:pStyle w:val="BodyText"/>
      </w:pPr>
      <w:r>
        <w:t xml:space="preserve">This recent journal article examines the post-pandemic shift toward hybrid work models in</w:t>
      </w:r>
      <w:r>
        <w:t xml:space="preserve"> </w:t>
      </w:r>
      <w:r>
        <w:t xml:space="preserve">Tashkent</w:t>
      </w:r>
      <w:r>
        <w:t xml:space="preserve">. Azimova argues that the</w:t>
      </w:r>
      <w:r>
        <w:t xml:space="preserve"> </w:t>
      </w:r>
      <w:r>
        <w:t xml:space="preserve">Human Resources Manager</w:t>
      </w:r>
      <w:r>
        <w:t xml:space="preserve"> </w:t>
      </w:r>
      <w:r>
        <w:t xml:space="preserve">must now prioritize employee well-being and digital connectivity as core responsibilities. The study provides empirical evidence on how remote work policies impact productivity and employee satisfaction in</w:t>
      </w:r>
      <w:r>
        <w:t xml:space="preserve"> </w:t>
      </w:r>
      <w:r>
        <w:t xml:space="preserve">Uzbekistan</w:t>
      </w:r>
      <w:r>
        <w:t xml:space="preserve">. It offers practical recommendations for HR professionals to design flexible work arrangements that comply with local regulations while enhancing organizational agility.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Tashkent, Uzbekistan</dc:title>
  <dc:creator/>
  <dc:language>en</dc:language>
  <cp:keywords/>
  <dcterms:created xsi:type="dcterms:W3CDTF">2026-08-07T02:06:14Z</dcterms:created>
  <dcterms:modified xsi:type="dcterms:W3CDTF">2026-08-07T02:06:14Z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