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Australia</w:t>
      </w:r>
      <w:r>
        <w:t xml:space="preserve"> </w:t>
      </w:r>
      <w:r>
        <w:t xml:space="preserve">Brisbane</w:t>
      </w:r>
    </w:p>
    <w:bookmarkStart w:id="24" w:name="Xb93fee45b7f3f55ea3032fa1a738d13b18fd09f"/>
    <w:p>
      <w:pPr>
        <w:pStyle w:val="Heading1"/>
      </w:pPr>
      <w:r>
        <w:t xml:space="preserve">Annotated Bibliography: The Role of the Judge in Australia Brisbane</w:t>
      </w:r>
    </w:p>
    <w:p>
      <w:pPr>
        <w:pStyle w:val="FirstParagraph"/>
      </w:pPr>
      <w:r>
        <w:t xml:space="preserve">This annotated bibliography compiles essential legal resources, case law, and scholarly articles relevant to the judiciary within the specific jurisdiction of Brisbane, Queensland, Australia. The focus is on the constitutional powers, ethical obligations, and practical application of law by judges in the Supreme Court of Queensland and the District Court of Queensland. These sources provide a comprehensive overview of how judicial authority is exercised in Brisbane's legal landscape, covering areas from criminal sentencing to civil procedure and judicial independence.</w:t>
      </w:r>
    </w:p>
    <w:bookmarkStart w:id="20" w:name="X086dc91e937e960f392fcb64f8d90aa7741fabb"/>
    <w:p>
      <w:pPr>
        <w:pStyle w:val="Heading2"/>
      </w:pPr>
      <w:r>
        <w:t xml:space="preserve">Constitutional Framework and Judicial Independence</w:t>
      </w:r>
    </w:p>
    <w:p>
      <w:pPr>
        <w:pStyle w:val="FirstParagraph"/>
      </w:pPr>
      <w:r>
        <w:t xml:space="preserve">Constitution of Queensland Act 2001 (Qld).</w:t>
      </w:r>
    </w:p>
    <w:p>
      <w:pPr>
        <w:pStyle w:val="BodyText"/>
      </w:pPr>
      <w:r>
        <w:t xml:space="preserve">This primary legislation establishes the constitutional framework for the judiciary in Queensland, including the courts located in Brisbane. It outlines the separation of powers, ensuring that the judicial branch remains independent from the executive and legislative branches. For any legal practitioner or scholar studying the role of a judge in Brisbane, this Act is foundational. It specifically details the appointment, tenure, and removal processes for judges of the Supreme Court of Queensland, which sits primarily in Brisbane. The document is critical for understanding the statutory protections that allow judges to make impartial decisions without political interference.</w:t>
      </w:r>
    </w:p>
    <w:p>
      <w:pPr>
        <w:pStyle w:val="BodyText"/>
      </w:pPr>
      <w:r>
        <w:t xml:space="preserve">Grollo v Palmer (1995) 184 CLR 348.</w:t>
      </w:r>
    </w:p>
    <w:p>
      <w:pPr>
        <w:pStyle w:val="BodyText"/>
      </w:pPr>
      <w:r>
        <w:t xml:space="preserve">Although a High Court of Australia decision, this case is pivotal for understanding the scope of judicial power in Queensland. The High Court ruled that a judge of a state Supreme Court could not exercise non-judicial powers that were incompatible with the exercise of judicial power. This case is frequently cited in Brisbane legal circles when discussing the limits of a judge's authority. It reinforces the principle that the integrity of the judiciary in Australia relies on judges remaining strictly within their constitutional role, a concept that is rigorously applied in the Supreme Court of Queensland.</w:t>
      </w:r>
    </w:p>
    <w:bookmarkEnd w:id="20"/>
    <w:bookmarkStart w:id="21" w:name="professional-conduct-and-ethics"/>
    <w:p>
      <w:pPr>
        <w:pStyle w:val="Heading2"/>
      </w:pPr>
      <w:r>
        <w:t xml:space="preserve">Professional Conduct and Ethics</w:t>
      </w:r>
    </w:p>
    <w:p>
      <w:pPr>
        <w:pStyle w:val="FirstParagraph"/>
      </w:pPr>
      <w:r>
        <w:t xml:space="preserve">Judicial Commission of Queensland. (2021).</w:t>
      </w:r>
      <w:r>
        <w:t xml:space="preserve"> </w:t>
      </w:r>
      <w:r>
        <w:rPr>
          <w:iCs/>
          <w:i/>
        </w:rPr>
        <w:t xml:space="preserve">Code of Conduct for Judicial Officers</w:t>
      </w:r>
      <w:r>
        <w:t xml:space="preserve">. Brisbane: Judicial Commission of Queensland.</w:t>
      </w:r>
    </w:p>
    <w:p>
      <w:pPr>
        <w:pStyle w:val="BodyText"/>
      </w:pPr>
      <w:r>
        <w:t xml:space="preserve">This document is the definitive guide for the ethical behavior of judges in Queensland. It provides detailed guidelines on impartiality, integrity, propriety, and diligence. For those analyzing the conduct of judges in Brisbane, this Code is essential. It addresses modern challenges such as social media usage, public commentary, and conflicts of interest. The Code ensures that judges in Brisbane maintain public confidence in the legal system by adhering to high moral and professional standards. It is a practical resource for understanding the day-to-day ethical constraints placed on judicial officers in the region.</w:t>
      </w:r>
    </w:p>
    <w:p>
      <w:pPr>
        <w:pStyle w:val="BodyText"/>
      </w:pPr>
      <w:r>
        <w:t xml:space="preserve">Re B; Ex parte Williams (1996) 188 CLR 111.</w:t>
      </w:r>
    </w:p>
    <w:p>
      <w:pPr>
        <w:pStyle w:val="BodyText"/>
      </w:pPr>
      <w:r>
        <w:t xml:space="preserve">This High Court case is a cornerstone of Australian judicial ethics, particularly regarding the appearance of bias. The case established that justice must not only be done but must also be seen to be done. In the context of Brisbane, this principle is crucial for judges presiding over high-profile cases in the Supreme Court. The case warns judges against any conduct that might lead a reasonable observer to suspect partiality. It is a key reference for legal professionals in Queensland when assessing whether a judge's conduct compromises the fairness of a trial.</w:t>
      </w:r>
    </w:p>
    <w:bookmarkEnd w:id="21"/>
    <w:bookmarkStart w:id="22" w:name="X971f5f7ff87552813babb11dc26f47ef828cf6a"/>
    <w:p>
      <w:pPr>
        <w:pStyle w:val="Heading2"/>
      </w:pPr>
      <w:r>
        <w:t xml:space="preserve">Sentencing and Criminal Law in Queensland</w:t>
      </w:r>
    </w:p>
    <w:p>
      <w:pPr>
        <w:pStyle w:val="FirstParagraph"/>
      </w:pPr>
      <w:r>
        <w:t xml:space="preserve">Criminal Code Act 1899 (Qld).</w:t>
      </w:r>
    </w:p>
    <w:p>
      <w:pPr>
        <w:pStyle w:val="BodyText"/>
      </w:pPr>
      <w:r>
        <w:t xml:space="preserve">This is the primary statute governing criminal law in Queensland. For judges in Brisbane, this Act provides the legal basis for determining guilt and assigning penalties. It outlines the principles of sentencing, including the need for proportionality and the consideration of mitigating and aggravating factors. Understanding this Act is vital for anyone studying how judges in Brisbane approach criminal justice. It reflects the legislative intent behind punishment and rehabilitation, guiding judges in their discretionary powers within the Queensland court system.</w:t>
      </w:r>
    </w:p>
    <w:p>
      <w:pPr>
        <w:pStyle w:val="BodyText"/>
      </w:pPr>
      <w:r>
        <w:t xml:space="preserve">R v Thomas [2019] QCA 150.</w:t>
      </w:r>
    </w:p>
    <w:p>
      <w:pPr>
        <w:pStyle w:val="BodyText"/>
      </w:pPr>
      <w:r>
        <w:t xml:space="preserve">This decision by the Queensland Court of Appeal, which sits in Brisbane, provides important guidance on sentencing principles in contemporary Queensland. The case emphasizes the importance of consistency in sentencing and the need for judges to consider the specific circumstances of each offender. It is a valuable resource for understanding how appellate judges in Brisbane review and correct sentencing decisions made by lower courts. The case highlights the evolving nature of judicial discretion in response to societal changes and legislative amendments in Queensland.</w:t>
      </w:r>
    </w:p>
    <w:bookmarkEnd w:id="22"/>
    <w:bookmarkStart w:id="23" w:name="civil-procedure-and-judicial-discretion"/>
    <w:p>
      <w:pPr>
        <w:pStyle w:val="Heading2"/>
      </w:pPr>
      <w:r>
        <w:t xml:space="preserve">Civil Procedure and Judicial Discretion</w:t>
      </w:r>
    </w:p>
    <w:p>
      <w:pPr>
        <w:pStyle w:val="FirstParagraph"/>
      </w:pPr>
      <w:r>
        <w:t xml:space="preserve">Uniform Civil Procedure Rules 1999 (Qld).</w:t>
      </w:r>
    </w:p>
    <w:p>
      <w:pPr>
        <w:pStyle w:val="BodyText"/>
      </w:pPr>
      <w:r>
        <w:t xml:space="preserve">These rules govern the conduct of civil proceedings in the Supreme Court and District Court of Queensland, including those in Brisbane. They provide judges with the procedural tools to manage cases efficiently and fairly. The rules emphasize the overriding purpose of civil litigation, which is to facilitate the just, quick, and cheap resolution of the real issues in the proceedings. For judges in Brisbane, these rules are essential for exercising case management powers, ensuring that trials are conducted without unnecessary delay or expense. They reflect the modern approach to civil justice in Queensland.</w:t>
      </w:r>
    </w:p>
    <w:p>
      <w:pPr>
        <w:pStyle w:val="BodyText"/>
      </w:pPr>
      <w:r>
        <w:t xml:space="preserve">Queensland Law Society. (2022).</w:t>
      </w:r>
      <w:r>
        <w:t xml:space="preserve"> </w:t>
      </w:r>
      <w:r>
        <w:rPr>
          <w:iCs/>
          <w:i/>
        </w:rPr>
        <w:t xml:space="preserve">Annual Report on the Administration of Justice in Queensland</w:t>
      </w:r>
      <w:r>
        <w:t xml:space="preserve">. Brisbane: Queensland Law Society.</w:t>
      </w:r>
    </w:p>
    <w:p>
      <w:pPr>
        <w:pStyle w:val="BodyText"/>
      </w:pPr>
      <w:r>
        <w:t xml:space="preserve">This annual report provides a comprehensive overview of the state of the legal system in Queensland, including the performance of the judiciary in Brisbane. It includes statistics on case backlogs, sentencing trends, and public perceptions of the courts. The report is a valuable resource for understanding the practical challenges faced by judges in Brisbane, such as resource constraints and increasing case complexity. It offers insights into how the judiciary is adapting to meet the needs of the community and maintain the integrity of the legal system in Queensland.</w:t>
      </w:r>
    </w:p>
    <w:p>
      <w:pPr>
        <w:pStyle w:val="BodyText"/>
      </w:pPr>
      <w:r>
        <w:t xml:space="preserve">Document generated for educational and informational purposes regarding the judiciary in Brisbane, Australia.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Australia Brisbane</dc:title>
  <dc:creator/>
  <dc:language>en</dc:language>
  <cp:keywords/>
  <dcterms:created xsi:type="dcterms:W3CDTF">2026-08-07T00:57:46Z</dcterms:created>
  <dcterms:modified xsi:type="dcterms:W3CDTF">2026-08-07T00:57:46Z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