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Melbourne</w:t>
      </w:r>
    </w:p>
    <w:bookmarkStart w:id="24" w:name="Xdefc73687a00f55e9aa0b589ea288b034573f1f"/>
    <w:p>
      <w:pPr>
        <w:pStyle w:val="Heading1"/>
      </w:pPr>
      <w:r>
        <w:t xml:space="preserve">Annotated Bibliography: The Role of the Judge in Australia Melbourne</w:t>
      </w:r>
    </w:p>
    <w:p>
      <w:pPr>
        <w:pStyle w:val="FirstParagraph"/>
      </w:pPr>
      <w:r>
        <w:t xml:space="preserve">This annotated bibliography provides a comprehensive overview of scholarly and legal resources regarding the judiciary within the specific context of Melbourne, Australia. As the capital of Victoria, Melbourne serves as the primary seat for the Supreme Court of Victoria and various lower courts. The following entries explore the historical evolution, ethical obligations, and contemporary challenges faced by judges in this jurisdiction, highlighting the unique intersection of common law tradition and modern Australian societal values.</w:t>
      </w:r>
    </w:p>
    <w:bookmarkStart w:id="20" w:name="primary-legal-sources-and-statutes"/>
    <w:p>
      <w:pPr>
        <w:pStyle w:val="Heading2"/>
      </w:pPr>
      <w:r>
        <w:t xml:space="preserve">Primary Legal Sources and Statutes</w:t>
      </w:r>
    </w:p>
    <w:p>
      <w:pPr>
        <w:pStyle w:val="FirstParagraph"/>
      </w:pPr>
      <w:r>
        <w:t xml:space="preserve">Supreme Court Act 1986 (Vic). Parliament of Victoria.</w:t>
      </w:r>
    </w:p>
    <w:p>
      <w:pPr>
        <w:pStyle w:val="BodyText"/>
      </w:pPr>
      <w:r>
        <w:t xml:space="preserve">This foundational statute establishes the Supreme Court of Victoria, which is headquartered in Melbourne. It is the primary legislative instrument defining the jurisdiction, powers, and composition of the court. For any study regarding the judge in Melbourne, this Act is indispensable as it outlines the appointment processes and the structural hierarchy of the judiciary. It provides the legal framework within which judges operate, ensuring that their authority is derived from and limited by parliamentary law. The Act is crucial for understanding the formal constraints and responsibilities placed upon judicial officers in the state capital.</w:t>
      </w:r>
    </w:p>
    <w:p>
      <w:pPr>
        <w:pStyle w:val="BodyText"/>
      </w:pPr>
      <w:r>
        <w:t xml:space="preserve">Judicial Officers Act 1986 (Vic). Parliament of Victoria.</w:t>
      </w:r>
    </w:p>
    <w:p>
      <w:pPr>
        <w:pStyle w:val="BodyText"/>
      </w:pPr>
      <w:r>
        <w:t xml:space="preserve">This legislation governs the appointment, tenure, and removal of judicial officers in Victoria, including those serving in Melbourne. It is a critical resource for understanding the mechanisms of judicial independence, a cornerstone of the Australian legal system. The Act details the rigorous standards required for appointment and the specific procedures for disciplinary action, thereby safeguarding the integrity of the bench. For researchers analyzing the accountability of judges in Melbourne, this Act provides the statutory basis for how judicial conduct is regulated and how the separation of powers is maintained in practice.</w:t>
      </w:r>
    </w:p>
    <w:bookmarkEnd w:id="20"/>
    <w:bookmarkStart w:id="21" w:name="scholarly-analysis-and-commentary"/>
    <w:p>
      <w:pPr>
        <w:pStyle w:val="Heading2"/>
      </w:pPr>
      <w:r>
        <w:t xml:space="preserve">Scholarly Analysis and Commentary</w:t>
      </w:r>
    </w:p>
    <w:p>
      <w:pPr>
        <w:pStyle w:val="FirstParagraph"/>
      </w:pPr>
      <w:r>
        <w:t xml:space="preserve">Hanks, P. (2018).</w:t>
      </w:r>
      <w:r>
        <w:t xml:space="preserve"> </w:t>
      </w:r>
      <w:r>
        <w:rPr>
          <w:iCs/>
          <w:i/>
        </w:rPr>
        <w:t xml:space="preserve">The Supreme Court of Victoria: History and Practice</w:t>
      </w:r>
      <w:r>
        <w:t xml:space="preserve">. Melbourne University Law Review.</w:t>
      </w:r>
    </w:p>
    <w:p>
      <w:pPr>
        <w:pStyle w:val="BodyText"/>
      </w:pPr>
      <w:r>
        <w:t xml:space="preserve">This article offers a detailed historical analysis of the Supreme Court of Victoria, tracing its development from the colonial era to the present day. It provides valuable context for understanding the role of the judge in Melbourne, illustrating how judicial practices have evolved alongside the city's growth. The author examines key cases that have shaped Victorian jurisprudence, highlighting the influence of prominent judges on the legal landscape of Australia. This source is essential for appreciating the continuity and change within the Melbourne judiciary, offering insights into how historical precedents continue to inform contemporary judicial decision-making.</w:t>
      </w:r>
    </w:p>
    <w:p>
      <w:pPr>
        <w:pStyle w:val="BodyText"/>
      </w:pPr>
      <w:r>
        <w:t xml:space="preserve">Zines, L. (2015).</w:t>
      </w:r>
      <w:r>
        <w:t xml:space="preserve"> </w:t>
      </w:r>
      <w:r>
        <w:rPr>
          <w:iCs/>
          <w:i/>
        </w:rPr>
        <w:t xml:space="preserve">The High Court and the Constitution</w:t>
      </w:r>
      <w:r>
        <w:t xml:space="preserve"> </w:t>
      </w:r>
      <w:r>
        <w:t xml:space="preserve">(5th ed.). Federation Press.</w:t>
      </w:r>
    </w:p>
    <w:p>
      <w:pPr>
        <w:pStyle w:val="BodyText"/>
      </w:pPr>
      <w:r>
        <w:t xml:space="preserve">While focused on the High Court of Australia, this seminal work by Leslie Zines is vital for understanding the broader constitutional framework within which Melbourne judges operate. It discusses the principles of judicial review and the interpretation of the Constitution, which directly impact state courts. The book elucidates the relationship between state judges and the federal judiciary, a dynamic that is particularly relevant in Melbourne, where complex constitutional issues often arise. It provides a theoretical foundation for analyzing how judges in Australia balance state and federal legal obligations.</w:t>
      </w:r>
    </w:p>
    <w:p>
      <w:pPr>
        <w:pStyle w:val="BodyText"/>
      </w:pPr>
      <w:r>
        <w:t xml:space="preserve">Australian Institute of Judicial Administration. (2020).</w:t>
      </w:r>
      <w:r>
        <w:t xml:space="preserve"> </w:t>
      </w:r>
      <w:r>
        <w:rPr>
          <w:iCs/>
          <w:i/>
        </w:rPr>
        <w:t xml:space="preserve">Report on Judicial Ethics and Conduct in Victoria</w:t>
      </w:r>
      <w:r>
        <w:t xml:space="preserve">. AIJA.</w:t>
      </w:r>
    </w:p>
    <w:p>
      <w:pPr>
        <w:pStyle w:val="BodyText"/>
      </w:pPr>
      <w:r>
        <w:t xml:space="preserve">This report addresses the ethical standards expected of judges in Victoria, with specific case studies from Melbourne courts. It explores contemporary issues such as social media usage, public commentary, and the perception of bias. The document is highly relevant for understanding the modern challenges faced by judges in maintaining impartiality and public trust. It provides practical guidelines and ethical frameworks that are directly applicable to judicial officers in Melbourne, making it a key resource for those studying judicial conduct and professional responsibility in Australia.</w:t>
      </w:r>
    </w:p>
    <w:bookmarkEnd w:id="21"/>
    <w:bookmarkStart w:id="22" w:name="case-law-and-judicial-reasoning"/>
    <w:p>
      <w:pPr>
        <w:pStyle w:val="Heading2"/>
      </w:pPr>
      <w:r>
        <w:t xml:space="preserve">Case Law and Judicial Reasoning</w:t>
      </w:r>
    </w:p>
    <w:p>
      <w:pPr>
        <w:pStyle w:val="FirstParagraph"/>
      </w:pPr>
      <w:r>
        <w:rPr>
          <w:iCs/>
          <w:i/>
        </w:rPr>
        <w:t xml:space="preserve">R v Lavender</w:t>
      </w:r>
      <w:r>
        <w:t xml:space="preserve"> </w:t>
      </w:r>
      <w:r>
        <w:t xml:space="preserve">[2005] VSCA 124. Supreme Court of Victoria (Court of Appeal).</w:t>
      </w:r>
    </w:p>
    <w:p>
      <w:pPr>
        <w:pStyle w:val="BodyText"/>
      </w:pPr>
      <w:r>
        <w:t xml:space="preserve">This landmark case from the Supreme Court of Victoria is a critical example of judicial reasoning in Melbourne. It addresses the principles of criminal responsibility and the direction of juries by judges. The judgment is frequently cited in legal education and practice within Australia, illustrating the nuanced role of judges in ensuring fair trials. Analyzing this case provides insight into how Melbourne judges interpret and apply legal principles to complex factual scenarios, demonstrating the practical application of judicial authority in the Victorian legal system.</w:t>
      </w:r>
    </w:p>
    <w:p>
      <w:pPr>
        <w:pStyle w:val="BodyText"/>
      </w:pPr>
      <w:r>
        <w:rPr>
          <w:iCs/>
          <w:i/>
        </w:rPr>
        <w:t xml:space="preserve">Project Blue Sky Inc v Australian Broadcasting Authority</w:t>
      </w:r>
      <w:r>
        <w:t xml:space="preserve"> </w:t>
      </w:r>
      <w:r>
        <w:t xml:space="preserve">(1998) 194 CLR 355. High Court of Australia.</w:t>
      </w:r>
    </w:p>
    <w:p>
      <w:pPr>
        <w:pStyle w:val="BodyText"/>
      </w:pPr>
      <w:r>
        <w:t xml:space="preserve">Although a High Court decision, this case is pivotal for judges in Melbourne and across Australia regarding statutory interpretation. It establishes the principles for interpreting legislation in a way that aligns with the purpose and context of the law. The judgment is a cornerstone of Australian legal theory and is routinely referenced by judges in the Supreme Court of Victoria. It underscores the intellectual rigor required of judges in Australia and highlights the importance of coherent legal interpretation in maintaining the rule of law.</w:t>
      </w:r>
    </w:p>
    <w:bookmarkEnd w:id="22"/>
    <w:bookmarkStart w:id="23" w:name="conclusion"/>
    <w:p>
      <w:pPr>
        <w:pStyle w:val="Heading2"/>
      </w:pPr>
      <w:r>
        <w:t xml:space="preserve">Conclusion</w:t>
      </w:r>
    </w:p>
    <w:p>
      <w:pPr>
        <w:pStyle w:val="FirstParagraph"/>
      </w:pPr>
      <w:r>
        <w:t xml:space="preserve">The resources compiled in this annotated bibliography offer a multifaceted view of the judge in Australia Melbourne. From statutory foundations to ethical guidelines and landmark case law, these sources collectively illuminate the complexities of the judicial role. They demonstrate that judges in Melbourne are not only arbiters of law but also key figures in shaping the legal and social fabric of Australia. This bibliography serves as a foundational guide for further research into the judiciary of Victoria and its significance within the broader Australian legal 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Australia Melbourne</dc:title>
  <dc:creator/>
  <dc:language>en</dc:language>
  <cp:keywords/>
  <dcterms:created xsi:type="dcterms:W3CDTF">2026-08-07T09:47:28Z</dcterms:created>
  <dcterms:modified xsi:type="dcterms:W3CDTF">2026-08-07T09:47:28Z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