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The Role, Authority, and Context of the Judge in Brussels, Belgium</w:t>
      </w:r>
    </w:p>
    <w:bookmarkEnd w:id="20"/>
    <w:p>
      <w:pPr>
        <w:pStyle w:val="BodyText"/>
      </w:pPr>
      <w:r>
        <w:t xml:space="preserve">The following annotated bibliography provides a comprehensive overview of the legal framework, judicial structure, and professional realities concerning the judge in Belgium, with a specific focus on the Brussels-Capital Region. As the capital of Belgium and a major hub for international law, Brussels presents a unique environment where national civil law traditions intersect with European Union jurisprudence. This collection of sources examines the appointment, independence, and function of judges within this complex jurisdiction.</w:t>
      </w:r>
    </w:p>
    <w:bookmarkStart w:id="21" w:name="constitutional-and-statutory-framework"/>
    <w:p>
      <w:pPr>
        <w:pStyle w:val="Heading2"/>
      </w:pPr>
      <w:r>
        <w:t xml:space="preserve">Constitutional and Statutory Framework</w:t>
      </w:r>
    </w:p>
    <w:p>
      <w:pPr>
        <w:pStyle w:val="FirstParagraph"/>
      </w:pPr>
      <w:r>
        <w:t xml:space="preserve">The Constitution of the Kingdom of Belgium. (2023). Federal Public Service Justice.</w:t>
      </w:r>
    </w:p>
    <w:p>
      <w:pPr>
        <w:pStyle w:val="BodyText"/>
      </w:pPr>
      <w:r>
        <w:t xml:space="preserve">This primary source establishes the foundational principles of the Belgian judiciary. It is essential for understanding the constitutional guarantees of judicial independence and the separation of powers that protect the judge in Belgium. Specifically, Articles 151 through 156 outline the organization of the courts and the inamovability of judges, ensuring they cannot be arbitrarily removed from office. For a judge operating in Brussels, these articles provide the ultimate shield against political pressure, a critical factor given the city's status as the center of Belgian federal politics. This text is indispensable for any legal analysis regarding the legitimacy and authority of the Belgian bench.</w:t>
      </w:r>
    </w:p>
    <w:p>
      <w:pPr>
        <w:pStyle w:val="BodyText"/>
      </w:pPr>
      <w:r>
        <w:t xml:space="preserve">The Law of 6 January 1979 on the Status of Judges. (2023). Belgian Official Gazette.</w:t>
      </w:r>
    </w:p>
    <w:p>
      <w:pPr>
        <w:pStyle w:val="BodyText"/>
      </w:pPr>
      <w:r>
        <w:t xml:space="preserve">This statute details the specific conditions of service, ethical obligations, and disciplinary procedures applicable to judges in Belgium. It defines the career path for a judge, from entry-level positions to the Court of Cassation. In the context of Brussels, where the density of legal professionals is highest, this law clarifies the strict rules regarding conflicts of interest and the prohibition of political activity for sitting judges. It serves as the primary regulatory document governing the daily conduct and professional life of the judiciary in the capital region.</w:t>
      </w:r>
    </w:p>
    <w:bookmarkEnd w:id="21"/>
    <w:bookmarkStart w:id="22" w:name="Xd04e354ec882f09b4d7d85f0a6109bef6234fac"/>
    <w:p>
      <w:pPr>
        <w:pStyle w:val="Heading2"/>
      </w:pPr>
      <w:r>
        <w:t xml:space="preserve">Judicial Structure in the Brussels-Capital Region</w:t>
      </w:r>
    </w:p>
    <w:p>
      <w:pPr>
        <w:pStyle w:val="FirstParagraph"/>
      </w:pPr>
      <w:r>
        <w:t xml:space="preserve">The Law of 15 December 1980 on Institutional Reform. (2023). Federal Public Service Interior.</w:t>
      </w:r>
    </w:p>
    <w:p>
      <w:pPr>
        <w:pStyle w:val="BodyText"/>
      </w:pPr>
      <w:r>
        <w:t xml:space="preserve">This legislation is crucial for understanding the territorial jurisdiction of courts in Belgium. It established the Brussels-Capital Region as a distinct entity with its own specific judicial needs. The law dictates the organization of the Court of First Instance and the Court of Appeal in Brussels, which handle a disproportionate volume of cases compared to other regions. For a judge in Brussels, this text explains the unique bilingual nature of the courts (French and Dutch) and the specific procedural rules that apply within the capital's jurisdiction. It highlights the administrative complexities a judge must navigate in a bilingual, federalized environment.</w:t>
      </w:r>
    </w:p>
    <w:p>
      <w:pPr>
        <w:pStyle w:val="BodyText"/>
      </w:pPr>
      <w:r>
        <w:t xml:space="preserve">The Law of 20 July 2018 on the Reform of the Judicial System. (2023). Belgian Official Gazette.</w:t>
      </w:r>
    </w:p>
    <w:p>
      <w:pPr>
        <w:pStyle w:val="BodyText"/>
      </w:pPr>
      <w:r>
        <w:t xml:space="preserve">This recent and significant reform merged several lower courts into a single Court of First Instance in each judicial district, including Brussels. This source is vital for understanding the modern structure of the Belgian judiciary. It outlines the new competencies of the judge in Brussels, who now handles a broader range of civil, commercial, and social matters within a unified court structure. The text also addresses measures taken to improve the efficiency of justice and reduce backlogs, a pressing issue in the busy Brussels courts. It provides insight into the evolving role of the judge in a streamlined judicial system.</w:t>
      </w:r>
    </w:p>
    <w:bookmarkEnd w:id="22"/>
    <w:bookmarkStart w:id="23" w:name="international-and-european-context"/>
    <w:p>
      <w:pPr>
        <w:pStyle w:val="Heading2"/>
      </w:pPr>
      <w:r>
        <w:t xml:space="preserve">International and European Context</w:t>
      </w:r>
    </w:p>
    <w:p>
      <w:pPr>
        <w:pStyle w:val="FirstParagraph"/>
      </w:pPr>
      <w:r>
        <w:t xml:space="preserve">The Charter of Fundamental Rights of the European Union. (2012). Official Journal of the European Union.</w:t>
      </w:r>
    </w:p>
    <w:p>
      <w:pPr>
        <w:pStyle w:val="BodyText"/>
      </w:pPr>
      <w:r>
        <w:t xml:space="preserve">Given that Brussels is the de facto capital of the European Union, this document is highly relevant to the work of a judge in the city. Article 47 guarantees the right to an effective remedy and a fair trial, which directly influences how Belgian judges interpret national law. Judges in Brussels frequently deal with cases involving EU law, making this Charter a primary reference point. It underscores the obligation of the judge to ensure that national judicial proceedings meet the high standards of fairness and independence required by European law. This source illustrates the supranational dimension of the judge's role in Brussels.</w:t>
      </w:r>
    </w:p>
    <w:p>
      <w:pPr>
        <w:pStyle w:val="BodyText"/>
      </w:pPr>
      <w:r>
        <w:t xml:space="preserve">The European Convention on Human Rights (ECHR). (2023). Council of Europe.</w:t>
      </w:r>
    </w:p>
    <w:p>
      <w:pPr>
        <w:pStyle w:val="BodyText"/>
      </w:pPr>
      <w:r>
        <w:t xml:space="preserve">This treaty is a cornerstone of human rights protection in Europe and is directly applicable in Belgian courts. For a judge in Brussels, the ECHR provides the framework for interpreting fundamental rights in criminal and civil cases. The jurisprudence of the European Court of Human Rights, located in Strasbourg but heavily litigated by Brussels-based lawyers, guides the decisions of Belgian judges. This source is essential for understanding the external constraints and obligations that shape judicial decision-making in Belgium, ensuring that the judge upholds international human rights standards.</w:t>
      </w:r>
    </w:p>
    <w:bookmarkEnd w:id="23"/>
    <w:bookmarkStart w:id="24" w:name="professional-ethics-and-independence"/>
    <w:p>
      <w:pPr>
        <w:pStyle w:val="Heading2"/>
      </w:pPr>
      <w:r>
        <w:t xml:space="preserve">Professional Ethics and Independence</w:t>
      </w:r>
    </w:p>
    <w:p>
      <w:pPr>
        <w:pStyle w:val="FirstParagraph"/>
      </w:pPr>
      <w:r>
        <w:t xml:space="preserve">The Code of Conduct for Judges in Belgium. (2023). Superior Council of the Judiciary.</w:t>
      </w:r>
    </w:p>
    <w:p>
      <w:pPr>
        <w:pStyle w:val="BodyText"/>
      </w:pPr>
      <w:r>
        <w:t xml:space="preserve">This document outlines the ethical standards expected of all judges in Belgium, including those in Brussels. It covers principles such as impartiality, integrity, and propriety. In a city like Brussels, where judges may be more visible and subject to greater public scrutiny, this code is particularly important. It provides guidance on how judges should conduct themselves both inside and outside the courtroom, including restrictions on social media use and public statements. This source is key for understanding the professional expectations and moral responsibilities of the judge in the Belgian capital.</w:t>
      </w:r>
    </w:p>
    <w:p>
      <w:pPr>
        <w:pStyle w:val="BodyText"/>
      </w:pPr>
      <w:r>
        <w:t xml:space="preserve">The Superior Council of the Judiciary (CSM). (2023). Annual Report on the State of Justice in Belgium.</w:t>
      </w:r>
    </w:p>
    <w:p>
      <w:pPr>
        <w:pStyle w:val="BodyText"/>
      </w:pPr>
      <w:r>
        <w:t xml:space="preserve">The CSM is the independent body responsible for safeguarding the independence of the judiciary in Belgium. Its annual reports provide valuable data and analysis on the functioning of the courts, including those in Brussels. These reports often highlight issues such as case backlogs, resource allocation, and the well-being of judges. For anyone studying the role of the judge in Brussels, these reports offer an empirical perspective on the challenges faced by the judiciary. They reveal the practical realities of judicial work in a busy, complex legal environment and the measures being taken to support the judge in their duties.</w:t>
      </w:r>
    </w:p>
    <w:p>
      <w:pPr>
        <w:pStyle w:val="BodyText"/>
      </w:pPr>
      <w:r>
        <w:t xml:space="preserve">Document generated for educational and informational purposes regarding the Belgian Judiciary in Brussels.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Brussels, Belgium</dc:title>
  <dc:creator/>
  <dc:language>en</dc:language>
  <cp:keywords/>
  <dcterms:created xsi:type="dcterms:W3CDTF">2026-08-07T08:51:27Z</dcterms:created>
  <dcterms:modified xsi:type="dcterms:W3CDTF">2026-08-07T08:51:27Z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