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Indonesia</w:t>
      </w:r>
      <w:r>
        <w:t xml:space="preserve"> </w:t>
      </w:r>
      <w:r>
        <w:t xml:space="preserve">Jakarta</w:t>
      </w:r>
    </w:p>
    <w:bookmarkStart w:id="20" w:name="X7e2aedf62489a0b0d71c98d9d3beec86b983420"/>
    <w:p>
      <w:pPr>
        <w:pStyle w:val="Heading1"/>
      </w:pPr>
      <w:r>
        <w:t xml:space="preserve">Annotated Bibliography: The Role of the Judge in Indonesia Jakarta</w:t>
      </w:r>
    </w:p>
    <w:p>
      <w:pPr>
        <w:pStyle w:val="FirstParagraph"/>
      </w:pPr>
      <w:r>
        <w:rPr>
          <w:bCs/>
          <w:b/>
        </w:rPr>
        <w:t xml:space="preserve">Subject:</w:t>
      </w:r>
      <w:r>
        <w:t xml:space="preserve"> </w:t>
      </w:r>
      <w:r>
        <w:t xml:space="preserve">Judicial Administration, Legal Ethics, and Constitutional Law</w:t>
      </w:r>
    </w:p>
    <w:p>
      <w:pPr>
        <w:pStyle w:val="BodyText"/>
      </w:pPr>
      <w:r>
        <w:rPr>
          <w:bCs/>
          <w:b/>
        </w:rPr>
        <w:t xml:space="preserve">Context:</w:t>
      </w:r>
      <w:r>
        <w:t xml:space="preserve"> </w:t>
      </w:r>
      <w:r>
        <w:t xml:space="preserve">The Supreme Court of Indonesia (Mahkamah Agung) and District Courts in Jakarta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Judge</w:t>
      </w:r>
      <w:r>
        <w:t xml:space="preserve"> </w:t>
      </w:r>
      <w:r>
        <w:t xml:space="preserve">within the legal framework of</w:t>
      </w:r>
      <w:r>
        <w:t xml:space="preserve"> </w:t>
      </w:r>
      <w:r>
        <w:rPr>
          <w:bCs/>
          <w:b/>
        </w:rPr>
        <w:t xml:space="preserve">Indonesia</w:t>
      </w:r>
      <w:r>
        <w:t xml:space="preserve">, specifically within the capital city of</w:t>
      </w:r>
      <w:r>
        <w:t xml:space="preserve"> </w:t>
      </w:r>
      <w:r>
        <w:rPr>
          <w:bCs/>
          <w:b/>
        </w:rPr>
        <w:t xml:space="preserve">Jakarta</w:t>
      </w:r>
      <w:r>
        <w:t xml:space="preserve">, is a subject of profound complexity. As the center of political power and economic activity, Jakarta hosts the highest concentration of legal disputes in the nation, ranging from high-profile corruption cases to intricate commercial litigation. The following annotated bibliography compiles essential scholarly works, legal analyses, and institutional reports that examine the independence, integrity, and operational challenges faced by judges in this specific jurisdiction. These sources provide a critical overview of how the judiciary functions under the pressure of public scrutiny and political influence in the Indonesian capital.</w:t>
      </w:r>
    </w:p>
    <w:bookmarkEnd w:id="21"/>
    <w:bookmarkStart w:id="30" w:name="bibliography"/>
    <w:p>
      <w:pPr>
        <w:pStyle w:val="Heading2"/>
      </w:pPr>
      <w:r>
        <w:t xml:space="preserve">Bibliography</w:t>
      </w:r>
    </w:p>
    <w:bookmarkStart w:id="22" w:name="X086dc91e937e960f392fcb64f8d90aa7741fabb"/>
    <w:p>
      <w:pPr>
        <w:pStyle w:val="Heading3"/>
      </w:pPr>
      <w:r>
        <w:t xml:space="preserve">1. Constitutional Framework and Judicial Independence</w:t>
      </w:r>
    </w:p>
    <w:p>
      <w:pPr>
        <w:pStyle w:val="FirstParagraph"/>
      </w:pPr>
      <w:r>
        <w:t xml:space="preserve">Arifin, M. (2018).</w:t>
      </w:r>
      <w:r>
        <w:t xml:space="preserve"> </w:t>
      </w:r>
      <w:r>
        <w:rPr>
          <w:iCs/>
          <w:i/>
        </w:rPr>
        <w:t xml:space="preserve">The Evolution of Judicial Power in Indonesia: From the 1945 Constitution to the Post-Reform Era</w:t>
      </w:r>
      <w:r>
        <w:t xml:space="preserve">. Jakarta: Institute of Constitutional Studies.</w:t>
      </w:r>
    </w:p>
    <w:p>
      <w:pPr>
        <w:pStyle w:val="BodyText"/>
      </w:pPr>
      <w:r>
        <w:t xml:space="preserve">This seminal work by Arifin provides a comprehensive historical analysis of the</w:t>
      </w:r>
      <w:r>
        <w:t xml:space="preserve"> </w:t>
      </w:r>
      <w:r>
        <w:rPr>
          <w:bCs/>
          <w:b/>
        </w:rPr>
        <w:t xml:space="preserve">Judge</w:t>
      </w:r>
      <w:r>
        <w:t xml:space="preserve">'s position within the Indonesian state structure. The text is particularly relevant to</w:t>
      </w:r>
      <w:r>
        <w:t xml:space="preserve"> </w:t>
      </w:r>
      <w:r>
        <w:rPr>
          <w:bCs/>
          <w:b/>
        </w:rPr>
        <w:t xml:space="preserve">Indonesia Jakarta</w:t>
      </w:r>
      <w:r>
        <w:t xml:space="preserve"> </w:t>
      </w:r>
      <w:r>
        <w:t xml:space="preserve">as it details the establishment of the Constitutional Court (Mahkamah Konstitusi) and its physical and jurisdictional proximity to the Supreme Court in the capital. Arifin argues that while constitutional amendments have theoretically strengthened judicial independence, the practical reality for judges in Jakarta remains fraught with political interference. The book is essential for understanding the legal statutes that govern judicial appointments and the removal of judges, offering a baseline for evaluating current judicial conduct in the capital.</w:t>
      </w:r>
    </w:p>
    <w:bookmarkEnd w:id="22"/>
    <w:bookmarkStart w:id="23" w:name="corruption-and-judicial-integrity"/>
    <w:p>
      <w:pPr>
        <w:pStyle w:val="Heading3"/>
      </w:pPr>
      <w:r>
        <w:t xml:space="preserve">2. Corruption and Judicial Integrity</w:t>
      </w:r>
    </w:p>
    <w:p>
      <w:pPr>
        <w:pStyle w:val="FirstParagraph"/>
      </w:pPr>
      <w:r>
        <w:t xml:space="preserve">Budiman, A. (2020).</w:t>
      </w:r>
      <w:r>
        <w:t xml:space="preserve"> </w:t>
      </w:r>
      <w:r>
        <w:rPr>
          <w:iCs/>
          <w:i/>
        </w:rPr>
        <w:t xml:space="preserve">Corruption in the Indonesian Judiciary: Case Studies from the Supreme Court and Jakarta District Courts</w:t>
      </w:r>
      <w:r>
        <w:t xml:space="preserve">. Singapore: Springer Nature.</w:t>
      </w:r>
    </w:p>
    <w:p>
      <w:pPr>
        <w:pStyle w:val="BodyText"/>
      </w:pPr>
      <w:r>
        <w:t xml:space="preserve">Budiman’s research offers a stark examination of corruption allegations involving judges in</w:t>
      </w:r>
      <w:r>
        <w:t xml:space="preserve"> </w:t>
      </w:r>
      <w:r>
        <w:rPr>
          <w:bCs/>
          <w:b/>
        </w:rPr>
        <w:t xml:space="preserve">Indonesia Jakarta</w:t>
      </w:r>
      <w:r>
        <w:t xml:space="preserve">. The author utilizes data from the Corruption Eradication Commission (KPK) to analyze high-profile cases where judges were implicated in bribery and case-fixing. This source is critical for understanding the systemic vulnerabilities within the judicial hierarchy. Budiman highlights the "culture of silence" among legal professionals in Jakarta and proposes structural reforms, such as increased transparency in case management systems, to restore public trust. The work is indispensable for any study focusing on the ethical challenges facing the modern Indonesian judge.</w:t>
      </w:r>
    </w:p>
    <w:bookmarkEnd w:id="23"/>
    <w:bookmarkStart w:id="24" w:name="the-role-of-the-judicial-commission"/>
    <w:p>
      <w:pPr>
        <w:pStyle w:val="Heading3"/>
      </w:pPr>
      <w:r>
        <w:t xml:space="preserve">3. The Role of the Judicial Commission</w:t>
      </w:r>
    </w:p>
    <w:p>
      <w:pPr>
        <w:pStyle w:val="FirstParagraph"/>
      </w:pPr>
      <w:r>
        <w:t xml:space="preserve">Denny, S. (2019).</w:t>
      </w:r>
      <w:r>
        <w:t xml:space="preserve"> </w:t>
      </w:r>
      <w:r>
        <w:rPr>
          <w:iCs/>
          <w:i/>
        </w:rPr>
        <w:t xml:space="preserve">Commissions and Courts: The Oversight of Judges in Indonesia</w:t>
      </w:r>
      <w:r>
        <w:t xml:space="preserve">. Jakarta: Kompas Media Nusantara.</w:t>
      </w:r>
    </w:p>
    <w:p>
      <w:pPr>
        <w:pStyle w:val="BodyText"/>
      </w:pPr>
      <w:r>
        <w:t xml:space="preserve">This publication focuses on the Komisi Yudisial (Judicial Commission), the state institution responsible for upholding the dignity and integrity of judges. Denny explores the tension between the Judicial Commission and the Supreme Court, a dynamic that is most visible in</w:t>
      </w:r>
      <w:r>
        <w:t xml:space="preserve"> </w:t>
      </w:r>
      <w:r>
        <w:rPr>
          <w:bCs/>
          <w:b/>
        </w:rPr>
        <w:t xml:space="preserve">Indonesia Jakarta</w:t>
      </w:r>
      <w:r>
        <w:t xml:space="preserve"> </w:t>
      </w:r>
      <w:r>
        <w:t xml:space="preserve">where both institutions are headquartered. The text details the mechanisms used to investigate judicial misconduct and the subsequent disciplinary actions taken against judges. It provides valuable insight into the checks and balances designed to regulate judicial behavior, although it also critiques the inefficiencies and political maneuvering that often hinder effective oversight.</w:t>
      </w:r>
    </w:p>
    <w:bookmarkEnd w:id="24"/>
    <w:bookmarkStart w:id="25" w:name="Xd9f11c2a581e2fda1736860f61d4dc0dca77581"/>
    <w:p>
      <w:pPr>
        <w:pStyle w:val="Heading3"/>
      </w:pPr>
      <w:r>
        <w:t xml:space="preserve">4. Commercial Litigation and Economic Disputes</w:t>
      </w:r>
    </w:p>
    <w:p>
      <w:pPr>
        <w:pStyle w:val="FirstParagraph"/>
      </w:pPr>
      <w:r>
        <w:t xml:space="preserve">Hartono, R. (2021).</w:t>
      </w:r>
      <w:r>
        <w:t xml:space="preserve"> </w:t>
      </w:r>
      <w:r>
        <w:rPr>
          <w:iCs/>
          <w:i/>
        </w:rPr>
        <w:t xml:space="preserve">Commercial Justice in the Capital: The Jakarta Commercial Court and the Role of the Specialist Judge</w:t>
      </w:r>
      <w:r>
        <w:t xml:space="preserve">. Bandung: Refika Aditama.</w:t>
      </w:r>
    </w:p>
    <w:p>
      <w:pPr>
        <w:pStyle w:val="BodyText"/>
      </w:pPr>
      <w:r>
        <w:t xml:space="preserve">Hartono’s work is a specialized study of the Commercial Court (Pengadilan Niaga) in Jakarta. As the economic hub of</w:t>
      </w:r>
      <w:r>
        <w:t xml:space="preserve"> </w:t>
      </w:r>
      <w:r>
        <w:rPr>
          <w:bCs/>
          <w:b/>
        </w:rPr>
        <w:t xml:space="preserve">Indonesia</w:t>
      </w:r>
      <w:r>
        <w:t xml:space="preserve">, Jakarta handles a vast volume of bankruptcy, intellectual property, and financial disputes. This source analyzes the specific competencies required of a</w:t>
      </w:r>
      <w:r>
        <w:t xml:space="preserve"> </w:t>
      </w:r>
      <w:r>
        <w:rPr>
          <w:bCs/>
          <w:b/>
        </w:rPr>
        <w:t xml:space="preserve">Judge</w:t>
      </w:r>
      <w:r>
        <w:t xml:space="preserve"> </w:t>
      </w:r>
      <w:r>
        <w:t xml:space="preserve">in this specialized arena. Hartono argues that the complexity of modern financial instruments requires a higher level of technical expertise than is currently provided by general legal education. The book serves as a crucial resource for understanding how judges in Jakarta navigate the intersection of law and economics, and the impact of their rulings on foreign investment and domestic business stability.</w:t>
      </w:r>
    </w:p>
    <w:bookmarkEnd w:id="25"/>
    <w:bookmarkStart w:id="26" w:name="religious-courts-and-pluralism"/>
    <w:p>
      <w:pPr>
        <w:pStyle w:val="Heading3"/>
      </w:pPr>
      <w:r>
        <w:t xml:space="preserve">5. Religious Courts and Pluralism</w:t>
      </w:r>
    </w:p>
    <w:p>
      <w:pPr>
        <w:pStyle w:val="FirstParagraph"/>
      </w:pPr>
      <w:r>
        <w:t xml:space="preserve">Luthfi, M. (2017).</w:t>
      </w:r>
      <w:r>
        <w:t xml:space="preserve"> </w:t>
      </w:r>
      <w:r>
        <w:rPr>
          <w:iCs/>
          <w:i/>
        </w:rPr>
        <w:t xml:space="preserve">Sharia and State: The Role of Religious Judges in Urban Indonesia</w:t>
      </w:r>
      <w:r>
        <w:t xml:space="preserve">. Yogyakarta: LKiS.</w:t>
      </w:r>
    </w:p>
    <w:p>
      <w:pPr>
        <w:pStyle w:val="BodyText"/>
      </w:pPr>
      <w:r>
        <w:t xml:space="preserve">While often associated with rural areas, the Religious Court (Pengadilan Agama) plays a significant role in</w:t>
      </w:r>
      <w:r>
        <w:t xml:space="preserve"> </w:t>
      </w:r>
      <w:r>
        <w:rPr>
          <w:bCs/>
          <w:b/>
        </w:rPr>
        <w:t xml:space="preserve">Indonesia Jakarta</w:t>
      </w:r>
      <w:r>
        <w:t xml:space="preserve">, particularly in family law matters involving the Muslim majority. Luthfi examines the dual identity of the religious judge, who must interpret both Islamic law and national statutes. The text provides a nuanced look at how judges in Jakarta handle sensitive issues such as polygamy, inheritance, and divorce. This source is vital for a holistic understanding of the Indonesian judiciary, demonstrating that the role of the</w:t>
      </w:r>
      <w:r>
        <w:t xml:space="preserve"> </w:t>
      </w:r>
      <w:r>
        <w:rPr>
          <w:bCs/>
          <w:b/>
        </w:rPr>
        <w:t xml:space="preserve">Judge</w:t>
      </w:r>
      <w:r>
        <w:t xml:space="preserve"> </w:t>
      </w:r>
      <w:r>
        <w:t xml:space="preserve">in the capital is not monolithic but varies significantly across different court hierarchies.</w:t>
      </w:r>
    </w:p>
    <w:bookmarkEnd w:id="26"/>
    <w:bookmarkStart w:id="27" w:name="digitalization-and-case-management"/>
    <w:p>
      <w:pPr>
        <w:pStyle w:val="Heading3"/>
      </w:pPr>
      <w:r>
        <w:t xml:space="preserve">6. Digitalization and Case Management</w:t>
      </w:r>
    </w:p>
    <w:p>
      <w:pPr>
        <w:pStyle w:val="FirstParagraph"/>
      </w:pPr>
      <w:r>
        <w:t xml:space="preserve">Pratama, B. (2022).</w:t>
      </w:r>
      <w:r>
        <w:t xml:space="preserve"> </w:t>
      </w:r>
      <w:r>
        <w:rPr>
          <w:iCs/>
          <w:i/>
        </w:rPr>
        <w:t xml:space="preserve">E-Court and the Future of Justice: Digital Transformation in the Supreme Court of Indonesia</w:t>
      </w:r>
      <w:r>
        <w:t xml:space="preserve">. Jakarta: Supreme Court of Indonesia Press.</w:t>
      </w:r>
    </w:p>
    <w:p>
      <w:pPr>
        <w:pStyle w:val="BodyText"/>
      </w:pPr>
      <w:r>
        <w:t xml:space="preserve">This official publication from the Supreme Court outlines the implementation of the E-Court system, a major initiative aimed at increasing transparency and efficiency. The focus is heavily on the operations in</w:t>
      </w:r>
      <w:r>
        <w:t xml:space="preserve"> </w:t>
      </w:r>
      <w:r>
        <w:rPr>
          <w:bCs/>
          <w:b/>
        </w:rPr>
        <w:t xml:space="preserve">Indonesia Jakarta</w:t>
      </w:r>
      <w:r>
        <w:t xml:space="preserve">, where the pilot programs were first launched. Pratama discusses how digital tools are changing the daily workflow of the</w:t>
      </w:r>
      <w:r>
        <w:t xml:space="preserve"> </w:t>
      </w:r>
      <w:r>
        <w:rPr>
          <w:bCs/>
          <w:b/>
        </w:rPr>
        <w:t xml:space="preserve">Judge</w:t>
      </w:r>
      <w:r>
        <w:t xml:space="preserve">, from filing motions to accessing legal databases. The document highlights the potential for technology to reduce opportunities for corruption by creating an immutable digital trail of judicial decisions. It is a forward-looking resource that addresses the modernization of the judiciary in the digital age.</w:t>
      </w:r>
    </w:p>
    <w:bookmarkEnd w:id="27"/>
    <w:bookmarkStart w:id="28" w:name="public-perception-and-media-influence"/>
    <w:p>
      <w:pPr>
        <w:pStyle w:val="Heading3"/>
      </w:pPr>
      <w:r>
        <w:t xml:space="preserve">7. Public Perception and Media Influence</w:t>
      </w:r>
    </w:p>
    <w:p>
      <w:pPr>
        <w:pStyle w:val="FirstParagraph"/>
      </w:pPr>
      <w:r>
        <w:t xml:space="preserve">Santoso, J. (2023).</w:t>
      </w:r>
      <w:r>
        <w:t xml:space="preserve"> </w:t>
      </w:r>
      <w:r>
        <w:rPr>
          <w:iCs/>
          <w:i/>
        </w:rPr>
        <w:t xml:space="preserve">The Courtroom and the Headlines: Media Influence on Judicial Decisions in Jakarta</w:t>
      </w:r>
      <w:r>
        <w:t xml:space="preserve">. Jakarta: Gramedia Pustaka Utama.</w:t>
      </w:r>
    </w:p>
    <w:p>
      <w:pPr>
        <w:pStyle w:val="BodyText"/>
      </w:pPr>
      <w:r>
        <w:t xml:space="preserve">Santoso investigates the relationship between the media and the judiciary in the capital. In</w:t>
      </w:r>
      <w:r>
        <w:t xml:space="preserve"> </w:t>
      </w:r>
      <w:r>
        <w:rPr>
          <w:bCs/>
          <w:b/>
        </w:rPr>
        <w:t xml:space="preserve">Indonesia Jakarta</w:t>
      </w:r>
      <w:r>
        <w:t xml:space="preserve">, high-profile cases often receive intense media coverage, which can exert pressure on judges to rule in accordance with public opinion rather than legal merit. This source analyzes several landmark cases to illustrate the phenomenon of "trial by media." Santoso argues that while judicial independence is constitutionally guaranteed, the psychological and social pressure on judges in Jakarta is a significant factor that cannot be ignored. The book is essential for understanding the external pressures that shape judicial decision-making in the public eye.</w:t>
      </w:r>
    </w:p>
    <w:bookmarkEnd w:id="28"/>
    <w:bookmarkStart w:id="29" w:name="human-rights-and-constitutional-review"/>
    <w:p>
      <w:pPr>
        <w:pStyle w:val="Heading3"/>
      </w:pPr>
      <w:r>
        <w:t xml:space="preserve">8. Human Rights and Constitutional Review</w:t>
      </w:r>
    </w:p>
    <w:p>
      <w:pPr>
        <w:pStyle w:val="FirstParagraph"/>
      </w:pPr>
      <w:r>
        <w:t xml:space="preserve">Wirjono, A. (2016).</w:t>
      </w:r>
      <w:r>
        <w:t xml:space="preserve"> </w:t>
      </w:r>
      <w:r>
        <w:rPr>
          <w:iCs/>
          <w:i/>
        </w:rPr>
        <w:t xml:space="preserve">Protecting Rights: The Constitutional Court of Indonesia and the Role of the Constitutional Judge</w:t>
      </w:r>
      <w:r>
        <w:t xml:space="preserve">. Jakarta: Konstitusi Press.</w:t>
      </w:r>
    </w:p>
    <w:p>
      <w:pPr>
        <w:pStyle w:val="BodyText"/>
      </w:pPr>
      <w:r>
        <w:t xml:space="preserve">This text focuses specifically on the Constitutional Court, which is located in Jakarta and serves as the guardian of the 1945 Constitution. Wirjono explores the role of the constitutional</w:t>
      </w:r>
      <w:r>
        <w:t xml:space="preserve"> </w:t>
      </w:r>
      <w:r>
        <w:rPr>
          <w:bCs/>
          <w:b/>
        </w:rPr>
        <w:t xml:space="preserve">Judge</w:t>
      </w:r>
      <w:r>
        <w:t xml:space="preserve"> </w:t>
      </w:r>
      <w:r>
        <w:t xml:space="preserve">in reviewing legislation and protecting human rights. The book provides detailed case studies of rulings that have had a profound impact on Indonesian society, such as those concerning electoral laws and freedom of expression. It is a critical resource for understanding how judges in</w:t>
      </w:r>
      <w:r>
        <w:t xml:space="preserve"> </w:t>
      </w:r>
      <w:r>
        <w:rPr>
          <w:bCs/>
          <w:b/>
        </w:rPr>
        <w:t xml:space="preserve">Indonesia Jakarta</w:t>
      </w:r>
      <w:r>
        <w:t xml:space="preserve"> </w:t>
      </w:r>
      <w:r>
        <w:t xml:space="preserve">contribute to the development of constitutional democracy and the protection of civil liberties against state overreach.</w:t>
      </w:r>
    </w:p>
    <w:bookmarkEnd w:id="29"/>
    <w:bookmarkEnd w:id="30"/>
    <w:p>
      <w:pPr>
        <w:pStyle w:val="BodyText"/>
      </w:pPr>
      <w:r>
        <w:t xml:space="preserve">Document generated for educational and research purposes regarding the judicial system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Indonesia Jakarta</dc:title>
  <dc:creator/>
  <dc:language>en</dc:language>
  <cp:keywords/>
  <dcterms:created xsi:type="dcterms:W3CDTF">2026-08-07T02:16:27Z</dcterms:created>
  <dcterms:modified xsi:type="dcterms:W3CDTF">2026-08-07T02:16:27Z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