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Kuwait</w:t>
      </w:r>
      <w:r>
        <w:t xml:space="preserve"> </w:t>
      </w:r>
      <w:r>
        <w:t xml:space="preserve">City</w:t>
      </w:r>
    </w:p>
    <w:bookmarkStart w:id="23" w:name="X56a358df693eb06d6c9509d3944d3ce1c448196"/>
    <w:p>
      <w:pPr>
        <w:pStyle w:val="Heading1"/>
      </w:pPr>
      <w:r>
        <w:t xml:space="preserve">Annotated Bibliography: The Role of the Judge in Kuwait City</w:t>
      </w:r>
    </w:p>
    <w:p>
      <w:pPr>
        <w:pStyle w:val="FirstParagraph"/>
      </w:pPr>
      <w:r>
        <w:t xml:space="preserve">This annotated bibliography compiles essential legal resources, academic articles, and statutory frameworks relevant to the judiciary in Kuwait. Specifically, it focuses on the function, authority, and ethical obligations of a</w:t>
      </w:r>
      <w:r>
        <w:t xml:space="preserve"> </w:t>
      </w:r>
      <w:r>
        <w:rPr>
          <w:bCs/>
          <w:b/>
        </w:rPr>
        <w:t xml:space="preserve">Judge</w:t>
      </w:r>
      <w:r>
        <w:t xml:space="preserve"> </w:t>
      </w:r>
      <w:r>
        <w:t xml:space="preserve">operating within the legal jurisdiction of</w:t>
      </w:r>
      <w:r>
        <w:t xml:space="preserve"> </w:t>
      </w:r>
      <w:r>
        <w:rPr>
          <w:bCs/>
          <w:b/>
        </w:rPr>
        <w:t xml:space="preserve">Kuwait City</w:t>
      </w:r>
      <w:r>
        <w:t xml:space="preserve">. The selected sources provide a comprehensive overview of the civil law system, the influence of Islamic Sharia, and the modernization of judicial processes in the capital.</w:t>
      </w:r>
    </w:p>
    <w:bookmarkStart w:id="20" w:name="primary-legal-sources-and-statutes"/>
    <w:p>
      <w:pPr>
        <w:pStyle w:val="Heading2"/>
      </w:pPr>
      <w:r>
        <w:t xml:space="preserve">Primary Legal Sources and Statutes</w:t>
      </w:r>
    </w:p>
    <w:p>
      <w:pPr>
        <w:pStyle w:val="FirstParagraph"/>
      </w:pPr>
      <w:r>
        <w:t xml:space="preserve">Constitution of the State of Kuwait (1962).</w:t>
      </w:r>
    </w:p>
    <w:p>
      <w:pPr>
        <w:pStyle w:val="BodyText"/>
      </w:pPr>
      <w:r>
        <w:t xml:space="preserve">The Constitution serves as the supreme law of the land and is the foundational text for any</w:t>
      </w:r>
      <w:r>
        <w:t xml:space="preserve"> </w:t>
      </w:r>
      <w:r>
        <w:rPr>
          <w:bCs/>
          <w:b/>
        </w:rPr>
        <w:t xml:space="preserve">Judge</w:t>
      </w:r>
      <w:r>
        <w:t xml:space="preserve"> </w:t>
      </w:r>
      <w:r>
        <w:t xml:space="preserve">in</w:t>
      </w:r>
      <w:r>
        <w:t xml:space="preserve"> </w:t>
      </w:r>
      <w:r>
        <w:rPr>
          <w:bCs/>
          <w:b/>
        </w:rPr>
        <w:t xml:space="preserve">Kuwait City</w:t>
      </w:r>
      <w:r>
        <w:t xml:space="preserve">. Article 162 explicitly guarantees the independence of the judiciary, stating that judges are independent and subject only to the law. This source is critical for understanding the constitutional mandate that protects judicial autonomy from executive interference. For legal practitioners and scholars in the capital, this document defines the scope of judicial power and the separation of powers that underpins the Kuwaiti legal system.</w:t>
      </w:r>
    </w:p>
    <w:p>
      <w:pPr>
        <w:pStyle w:val="BodyText"/>
      </w:pPr>
      <w:r>
        <w:t xml:space="preserve">Law No. 16 of 1960 Regarding the Organization of Judicial Authorities.</w:t>
      </w:r>
    </w:p>
    <w:p>
      <w:pPr>
        <w:pStyle w:val="BodyText"/>
      </w:pPr>
      <w:r>
        <w:t xml:space="preserve">This statute outlines the hierarchical structure of the courts in Kuwait, including the Court of Cassation, the Court of Appeal, and the Primary Courts located in</w:t>
      </w:r>
      <w:r>
        <w:t xml:space="preserve"> </w:t>
      </w:r>
      <w:r>
        <w:rPr>
          <w:bCs/>
          <w:b/>
        </w:rPr>
        <w:t xml:space="preserve">Kuwait City</w:t>
      </w:r>
      <w:r>
        <w:t xml:space="preserve">. It details the qualifications required to become a</w:t>
      </w:r>
      <w:r>
        <w:t xml:space="preserve"> </w:t>
      </w:r>
      <w:r>
        <w:rPr>
          <w:bCs/>
          <w:b/>
        </w:rPr>
        <w:t xml:space="preserve">Judge</w:t>
      </w:r>
      <w:r>
        <w:t xml:space="preserve">, the appointment procedures by the Amir, and the disciplinary measures applicable to judicial officers. This text is indispensable for understanding the administrative framework within which a judge operates, ensuring that the judiciary functions with uniformity and adherence to statutory requirements across the state.</w:t>
      </w:r>
    </w:p>
    <w:p>
      <w:pPr>
        <w:pStyle w:val="BodyText"/>
      </w:pPr>
      <w:r>
        <w:t xml:space="preserve">Civil Procedure Law No. 111 of 1999.</w:t>
      </w:r>
    </w:p>
    <w:p>
      <w:pPr>
        <w:pStyle w:val="BodyText"/>
      </w:pPr>
      <w:r>
        <w:t xml:space="preserve">This law governs the procedural rules that a</w:t>
      </w:r>
      <w:r>
        <w:t xml:space="preserve"> </w:t>
      </w:r>
      <w:r>
        <w:rPr>
          <w:bCs/>
          <w:b/>
        </w:rPr>
        <w:t xml:space="preserve">Judge</w:t>
      </w:r>
      <w:r>
        <w:t xml:space="preserve"> </w:t>
      </w:r>
      <w:r>
        <w:t xml:space="preserve">in</w:t>
      </w:r>
      <w:r>
        <w:t xml:space="preserve"> </w:t>
      </w:r>
      <w:r>
        <w:rPr>
          <w:bCs/>
          <w:b/>
        </w:rPr>
        <w:t xml:space="preserve">Kuwait City</w:t>
      </w:r>
      <w:r>
        <w:t xml:space="preserve"> </w:t>
      </w:r>
      <w:r>
        <w:t xml:space="preserve">must follow during civil litigation. It covers jurisdiction, evidence, court hearings, and the enforcement of judgments. The document is vital for analyzing how judges manage case flow and ensure due process. It highlights the procedural safeguards designed to protect the rights of litigants and provides the technical guidelines necessary for the fair administration of justice in the capital's busy civil courts.</w:t>
      </w:r>
    </w:p>
    <w:bookmarkEnd w:id="20"/>
    <w:bookmarkStart w:id="21" w:name="academic-and-analytical-resources"/>
    <w:p>
      <w:pPr>
        <w:pStyle w:val="Heading2"/>
      </w:pPr>
      <w:r>
        <w:t xml:space="preserve">Academic and Analytical Resources</w:t>
      </w:r>
    </w:p>
    <w:p>
      <w:pPr>
        <w:pStyle w:val="FirstParagraph"/>
      </w:pPr>
      <w:r>
        <w:t xml:space="preserve">Al-Sabah, N. (2018).</w:t>
      </w:r>
      <w:r>
        <w:t xml:space="preserve"> </w:t>
      </w:r>
      <w:r>
        <w:rPr>
          <w:iCs/>
          <w:i/>
        </w:rPr>
        <w:t xml:space="preserve">The Judiciary in Kuwait: Independence and Challenges</w:t>
      </w:r>
      <w:r>
        <w:t xml:space="preserve">. Kuwait University Press.</w:t>
      </w:r>
    </w:p>
    <w:p>
      <w:pPr>
        <w:pStyle w:val="BodyText"/>
      </w:pPr>
      <w:r>
        <w:t xml:space="preserve">This scholarly work provides a critical analysis of the Kuwaiti judiciary's evolution. It examines the practical realities faced by a</w:t>
      </w:r>
      <w:r>
        <w:t xml:space="preserve"> </w:t>
      </w:r>
      <w:r>
        <w:rPr>
          <w:bCs/>
          <w:b/>
        </w:rPr>
        <w:t xml:space="preserve">Judge</w:t>
      </w:r>
      <w:r>
        <w:t xml:space="preserve"> </w:t>
      </w:r>
      <w:r>
        <w:t xml:space="preserve">in</w:t>
      </w:r>
      <w:r>
        <w:t xml:space="preserve"> </w:t>
      </w:r>
      <w:r>
        <w:rPr>
          <w:bCs/>
          <w:b/>
        </w:rPr>
        <w:t xml:space="preserve">Kuwait City</w:t>
      </w:r>
      <w:r>
        <w:t xml:space="preserve">, including political pressures and the balance between traditional values and modern legal standards. The author discusses the effectiveness of judicial independence in practice versus theory. This resource is highly recommended for understanding the socio-political context in which the judiciary operates and the ongoing reforms aimed at strengthening the rule of law in the capital.</w:t>
      </w:r>
    </w:p>
    <w:p>
      <w:pPr>
        <w:pStyle w:val="BodyText"/>
      </w:pPr>
      <w:r>
        <w:t xml:space="preserve">Al-Rashid, M. (2020). "Sharia and Civil Law: The Dual System in Kuwaiti Courts."</w:t>
      </w:r>
      <w:r>
        <w:t xml:space="preserve"> </w:t>
      </w:r>
      <w:r>
        <w:rPr>
          <w:iCs/>
          <w:i/>
        </w:rPr>
        <w:t xml:space="preserve">Journal of Middle Eastern Law</w:t>
      </w:r>
      <w:r>
        <w:t xml:space="preserve">, 15(3), 45-62.</w:t>
      </w:r>
    </w:p>
    <w:p>
      <w:pPr>
        <w:pStyle w:val="BodyText"/>
      </w:pPr>
      <w:r>
        <w:t xml:space="preserve">This article explores the intersection of Islamic Sharia and civil law in Kuwait. It is particularly relevant for a</w:t>
      </w:r>
      <w:r>
        <w:t xml:space="preserve"> </w:t>
      </w:r>
      <w:r>
        <w:rPr>
          <w:bCs/>
          <w:b/>
        </w:rPr>
        <w:t xml:space="preserve">Judge</w:t>
      </w:r>
      <w:r>
        <w:t xml:space="preserve"> </w:t>
      </w:r>
      <w:r>
        <w:t xml:space="preserve">in</w:t>
      </w:r>
      <w:r>
        <w:t xml:space="preserve"> </w:t>
      </w:r>
      <w:r>
        <w:rPr>
          <w:bCs/>
          <w:b/>
        </w:rPr>
        <w:t xml:space="preserve">Kuwait City</w:t>
      </w:r>
      <w:r>
        <w:t xml:space="preserve"> </w:t>
      </w:r>
      <w:r>
        <w:t xml:space="preserve">handling family law and inheritance cases, where Sharia principles are paramount. The text explains how judges interpret religious texts alongside statutory laws to reach equitable decisions. It offers valuable insight into the dual legal heritage that defines the Kuwaiti legal identity and the specialized knowledge required of judges in this jurisdiction.</w:t>
      </w:r>
    </w:p>
    <w:p>
      <w:pPr>
        <w:pStyle w:val="BodyText"/>
      </w:pPr>
      <w:r>
        <w:t xml:space="preserve">International Commission of Jurists. (2019).</w:t>
      </w:r>
      <w:r>
        <w:t xml:space="preserve"> </w:t>
      </w:r>
      <w:r>
        <w:rPr>
          <w:iCs/>
          <w:i/>
        </w:rPr>
        <w:t xml:space="preserve">Report on Judicial Independence in the Gulf States</w:t>
      </w:r>
      <w:r>
        <w:t xml:space="preserve">.</w:t>
      </w:r>
    </w:p>
    <w:p>
      <w:pPr>
        <w:pStyle w:val="BodyText"/>
      </w:pPr>
      <w:r>
        <w:t xml:space="preserve">This international report evaluates the status of judicial independence in Gulf Cooperation Council countries, with a specific section dedicated to Kuwait. It assesses the appointment and removal processes of judges in</w:t>
      </w:r>
      <w:r>
        <w:t xml:space="preserve"> </w:t>
      </w:r>
      <w:r>
        <w:rPr>
          <w:bCs/>
          <w:b/>
        </w:rPr>
        <w:t xml:space="preserve">Kuwait City</w:t>
      </w:r>
      <w:r>
        <w:t xml:space="preserve"> </w:t>
      </w:r>
      <w:r>
        <w:t xml:space="preserve">against international human rights standards. The report provides an external perspective on the strengths and weaknesses of the Kuwaiti judicial system, offering recommendations for enhancing transparency and accountability. It is a crucial reference for comparative legal studies and for understanding global expectations of the judiciary.</w:t>
      </w:r>
    </w:p>
    <w:bookmarkEnd w:id="21"/>
    <w:bookmarkStart w:id="22" w:name="professional-and-ethical-guidelines"/>
    <w:p>
      <w:pPr>
        <w:pStyle w:val="Heading2"/>
      </w:pPr>
      <w:r>
        <w:t xml:space="preserve">Professional and Ethical Guidelines</w:t>
      </w:r>
    </w:p>
    <w:p>
      <w:pPr>
        <w:pStyle w:val="FirstParagraph"/>
      </w:pPr>
      <w:r>
        <w:t xml:space="preserve">Kuwait Bar Association. (2021).</w:t>
      </w:r>
      <w:r>
        <w:t xml:space="preserve"> </w:t>
      </w:r>
      <w:r>
        <w:rPr>
          <w:iCs/>
          <w:i/>
        </w:rPr>
        <w:t xml:space="preserve">Code of Judicial Ethics and Conduct</w:t>
      </w:r>
      <w:r>
        <w:t xml:space="preserve">.</w:t>
      </w:r>
    </w:p>
    <w:p>
      <w:pPr>
        <w:pStyle w:val="BodyText"/>
      </w:pPr>
      <w:r>
        <w:t xml:space="preserve">This document sets forth the ethical standards expected of a</w:t>
      </w:r>
      <w:r>
        <w:t xml:space="preserve"> </w:t>
      </w:r>
      <w:r>
        <w:rPr>
          <w:bCs/>
          <w:b/>
        </w:rPr>
        <w:t xml:space="preserve">Judge</w:t>
      </w:r>
      <w:r>
        <w:t xml:space="preserve"> </w:t>
      </w:r>
      <w:r>
        <w:t xml:space="preserve">in</w:t>
      </w:r>
      <w:r>
        <w:t xml:space="preserve"> </w:t>
      </w:r>
      <w:r>
        <w:rPr>
          <w:bCs/>
          <w:b/>
        </w:rPr>
        <w:t xml:space="preserve">Kuwait City</w:t>
      </w:r>
      <w:r>
        <w:t xml:space="preserve">. It covers issues such as impartiality, integrity, confidentiality, and the prohibition of ex parte communications. The code is essential for maintaining public trust in the judiciary and ensuring that judges conduct themselves with dignity and professionalism. It serves as a practical guide for judicial behavior both inside and outside the courtroom, reinforcing the moral obligations of the bench.</w:t>
      </w:r>
    </w:p>
    <w:p>
      <w:pPr>
        <w:pStyle w:val="BodyText"/>
      </w:pPr>
      <w:r>
        <w:t xml:space="preserve">Al-Mutairi, S. (2022). "Digital Transformation in Kuwaiti Courts: Opportunities and Risks."</w:t>
      </w:r>
      <w:r>
        <w:t xml:space="preserve"> </w:t>
      </w:r>
      <w:r>
        <w:rPr>
          <w:iCs/>
          <w:i/>
        </w:rPr>
        <w:t xml:space="preserve">Arab Law Quarterly</w:t>
      </w:r>
      <w:r>
        <w:t xml:space="preserve">, 36(2), 112-130.</w:t>
      </w:r>
    </w:p>
    <w:p>
      <w:pPr>
        <w:pStyle w:val="BodyText"/>
      </w:pPr>
      <w:r>
        <w:t xml:space="preserve">This article discusses the modernization of the judicial system in Kuwait, focusing on the implementation of electronic filing and virtual hearings in</w:t>
      </w:r>
      <w:r>
        <w:t xml:space="preserve"> </w:t>
      </w:r>
      <w:r>
        <w:rPr>
          <w:bCs/>
          <w:b/>
        </w:rPr>
        <w:t xml:space="preserve">Kuwait City</w:t>
      </w:r>
      <w:r>
        <w:t xml:space="preserve">. It analyzes how these technological advancements impact the role of a</w:t>
      </w:r>
      <w:r>
        <w:t xml:space="preserve"> </w:t>
      </w:r>
      <w:r>
        <w:rPr>
          <w:bCs/>
          <w:b/>
        </w:rPr>
        <w:t xml:space="preserve">Judge</w:t>
      </w:r>
      <w:r>
        <w:t xml:space="preserve">, including issues of data privacy, accessibility, and efficiency. The text is forward-looking and provides insights into the future of judicial practice in Kuwait, highlighting the need for judges to adapt to new digital tools while preserving the integrity of legal proceedings.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Kuwait City</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