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Malaysian</w:t>
      </w:r>
      <w:r>
        <w:t xml:space="preserve"> </w:t>
      </w:r>
      <w:r>
        <w:t xml:space="preserve">Judiciary</w:t>
      </w:r>
      <w:r>
        <w:t xml:space="preserve"> </w:t>
      </w:r>
      <w:r>
        <w:t xml:space="preserve">(Kuala</w:t>
      </w:r>
      <w:r>
        <w:t xml:space="preserve"> </w:t>
      </w:r>
      <w:r>
        <w:t xml:space="preserve">Lumpur</w:t>
      </w:r>
      <w:r>
        <w:t xml:space="preserve"> </w:t>
      </w:r>
      <w:r>
        <w:t xml:space="preserve">Context)</w:t>
      </w:r>
    </w:p>
    <w:bookmarkStart w:id="20" w:name="X293f5d70da09a7c28d49361c2d1a6ccb65ac05c"/>
    <w:p>
      <w:pPr>
        <w:pStyle w:val="Heading1"/>
      </w:pPr>
      <w:r>
        <w:t xml:space="preserve">Annotated Bibliography: The Role of the Judge in the Malaysian Judiciary</w:t>
      </w:r>
    </w:p>
    <w:p>
      <w:pPr>
        <w:pStyle w:val="FirstParagraph"/>
      </w:pPr>
      <w:r>
        <w:rPr>
          <w:bCs/>
          <w:b/>
        </w:rPr>
        <w:t xml:space="preserve">Focus:</w:t>
      </w:r>
      <w:r>
        <w:t xml:space="preserve"> </w:t>
      </w:r>
      <w:r>
        <w:t xml:space="preserve">Judicial Independence, Constitutional Law, and Legal Practice in Kuala Lumpur, Malaysia.</w:t>
      </w:r>
    </w:p>
    <w:bookmarkEnd w:id="20"/>
    <w:p>
      <w:pPr>
        <w:pStyle w:val="BodyText"/>
      </w:pPr>
      <w:r>
        <w:t xml:space="preserve">The following annotated bibliography provides a comprehensive overview of the role, responsibilities, and constitutional standing of the</w:t>
      </w:r>
      <w:r>
        <w:t xml:space="preserve"> </w:t>
      </w:r>
      <w:r>
        <w:rPr>
          <w:bCs/>
          <w:b/>
        </w:rPr>
        <w:t xml:space="preserve">Judge</w:t>
      </w:r>
      <w:r>
        <w:t xml:space="preserve"> </w:t>
      </w:r>
      <w:r>
        <w:t xml:space="preserve">within the legal framework of</w:t>
      </w:r>
      <w:r>
        <w:t xml:space="preserve"> </w:t>
      </w:r>
      <w:r>
        <w:rPr>
          <w:bCs/>
          <w:b/>
        </w:rPr>
        <w:t xml:space="preserve">Malaysia</w:t>
      </w:r>
      <w:r>
        <w:t xml:space="preserve">, with specific relevance to the high-volume judicial proceedings occurring in</w:t>
      </w:r>
      <w:r>
        <w:t xml:space="preserve"> </w:t>
      </w:r>
      <w:r>
        <w:rPr>
          <w:bCs/>
          <w:b/>
        </w:rPr>
        <w:t xml:space="preserve">Kuala Lumpur</w:t>
      </w:r>
      <w:r>
        <w:t xml:space="preserve">. As the seat of the Federal Court and the High Court of Malaya, Kuala Lumpur serves as the epicenter of Malaysian jurisprudence. The selected sources examine the separation of powers, the appointment process, and the ethical obligations of the judiciary in the nation's capital.</w:t>
      </w:r>
    </w:p>
    <w:bookmarkStart w:id="21" w:name="X086dc91e937e960f392fcb64f8d90aa7741fabb"/>
    <w:p>
      <w:pPr>
        <w:pStyle w:val="Heading2"/>
      </w:pPr>
      <w:r>
        <w:t xml:space="preserve">Constitutional Framework and Judicial Independence</w:t>
      </w:r>
    </w:p>
    <w:p>
      <w:pPr>
        <w:pStyle w:val="FirstParagraph"/>
      </w:pPr>
      <w:r>
        <w:t xml:space="preserve">Federal Constitution of Malaysia. (2023).</w:t>
      </w:r>
      <w:r>
        <w:t xml:space="preserve"> </w:t>
      </w:r>
      <w:r>
        <w:rPr>
          <w:iCs/>
          <w:i/>
        </w:rPr>
        <w:t xml:space="preserve">Part IV: The Judiciary</w:t>
      </w:r>
      <w:r>
        <w:t xml:space="preserve">. Kuala Lumpur: Government Printer.</w:t>
      </w:r>
    </w:p>
    <w:p>
      <w:pPr>
        <w:pStyle w:val="BodyText"/>
      </w:pPr>
      <w:r>
        <w:t xml:space="preserve">This primary source is the foundational legal text governing the appointment, tenure, and removal of a</w:t>
      </w:r>
      <w:r>
        <w:t xml:space="preserve"> </w:t>
      </w:r>
      <w:r>
        <w:rPr>
          <w:bCs/>
          <w:b/>
        </w:rPr>
        <w:t xml:space="preserve">Judge</w:t>
      </w:r>
      <w:r>
        <w:t xml:space="preserve"> </w:t>
      </w:r>
      <w:r>
        <w:t xml:space="preserve">in</w:t>
      </w:r>
      <w:r>
        <w:t xml:space="preserve"> </w:t>
      </w:r>
      <w:r>
        <w:rPr>
          <w:bCs/>
          <w:b/>
        </w:rPr>
        <w:t xml:space="preserve">Malaysia</w:t>
      </w:r>
      <w:r>
        <w:t xml:space="preserve">. Specifically, Articles 121 through 130 outline the structure of the superior courts, including the High Court in</w:t>
      </w:r>
      <w:r>
        <w:t xml:space="preserve"> </w:t>
      </w:r>
      <w:r>
        <w:rPr>
          <w:bCs/>
          <w:b/>
        </w:rPr>
        <w:t xml:space="preserve">Kuala Lumpur</w:t>
      </w:r>
      <w:r>
        <w:t xml:space="preserve">. The document establishes the principle of judicial independence, ensuring that a</w:t>
      </w:r>
      <w:r>
        <w:t xml:space="preserve"> </w:t>
      </w:r>
      <w:r>
        <w:rPr>
          <w:bCs/>
          <w:b/>
        </w:rPr>
        <w:t xml:space="preserve">Judge</w:t>
      </w:r>
      <w:r>
        <w:t xml:space="preserve"> </w:t>
      </w:r>
      <w:r>
        <w:t xml:space="preserve">exercises their functions without fear or favor. For legal practitioners and scholars in</w:t>
      </w:r>
      <w:r>
        <w:t xml:space="preserve"> </w:t>
      </w:r>
      <w:r>
        <w:rPr>
          <w:bCs/>
          <w:b/>
        </w:rPr>
        <w:t xml:space="preserve">Kuala Lumpur</w:t>
      </w:r>
      <w:r>
        <w:t xml:space="preserve">, this text is indispensable for understanding the constitutional safeguards that protect the judiciary from executive interference. It details the rigorous process required to remove a</w:t>
      </w:r>
      <w:r>
        <w:t xml:space="preserve"> </w:t>
      </w:r>
      <w:r>
        <w:rPr>
          <w:bCs/>
          <w:b/>
        </w:rPr>
        <w:t xml:space="preserve">Judge</w:t>
      </w:r>
      <w:r>
        <w:t xml:space="preserve">, thereby reinforcing the stability of the rule of law in the capital.</w:t>
      </w:r>
    </w:p>
    <w:p>
      <w:pPr>
        <w:pStyle w:val="BodyText"/>
      </w:pPr>
      <w:r>
        <w:t xml:space="preserve">Ahmad, A. (2019).</w:t>
      </w:r>
      <w:r>
        <w:t xml:space="preserve"> </w:t>
      </w:r>
      <w:r>
        <w:rPr>
          <w:iCs/>
          <w:i/>
        </w:rPr>
        <w:t xml:space="preserve">The Separation of Powers in Malaysia: A Critical Analysis</w:t>
      </w:r>
      <w:r>
        <w:t xml:space="preserve">. Kuala Lumpur: Malayan Law Journal Sdn Bhd.</w:t>
      </w:r>
    </w:p>
    <w:p>
      <w:pPr>
        <w:pStyle w:val="BodyText"/>
      </w:pPr>
      <w:r>
        <w:t xml:space="preserve">Ahmad’s monograph provides a critical examination of the relationship between the executive and the judiciary in</w:t>
      </w:r>
      <w:r>
        <w:t xml:space="preserve"> </w:t>
      </w:r>
      <w:r>
        <w:rPr>
          <w:bCs/>
          <w:b/>
        </w:rPr>
        <w:t xml:space="preserve">Malaysia</w:t>
      </w:r>
      <w:r>
        <w:t xml:space="preserve">. The author argues that while the</w:t>
      </w:r>
      <w:r>
        <w:t xml:space="preserve"> </w:t>
      </w:r>
      <w:r>
        <w:rPr>
          <w:bCs/>
          <w:b/>
        </w:rPr>
        <w:t xml:space="preserve">Federal Constitution</w:t>
      </w:r>
      <w:r>
        <w:t xml:space="preserve"> </w:t>
      </w:r>
      <w:r>
        <w:t xml:space="preserve">guarantees independence, historical precedents in</w:t>
      </w:r>
      <w:r>
        <w:t xml:space="preserve"> </w:t>
      </w:r>
      <w:r>
        <w:rPr>
          <w:bCs/>
          <w:b/>
        </w:rPr>
        <w:t xml:space="preserve">Kuala Lumpur</w:t>
      </w:r>
      <w:r>
        <w:t xml:space="preserve"> </w:t>
      </w:r>
      <w:r>
        <w:t xml:space="preserve">have tested these boundaries. This text is particularly relevant for understanding the evolution of the</w:t>
      </w:r>
      <w:r>
        <w:t xml:space="preserve"> </w:t>
      </w:r>
      <w:r>
        <w:rPr>
          <w:bCs/>
          <w:b/>
        </w:rPr>
        <w:t xml:space="preserve">Judge</w:t>
      </w:r>
      <w:r>
        <w:t xml:space="preserve">'s role in curbing executive overreach. It analyzes landmark cases heard in the High Court of</w:t>
      </w:r>
      <w:r>
        <w:t xml:space="preserve"> </w:t>
      </w:r>
      <w:r>
        <w:rPr>
          <w:bCs/>
          <w:b/>
        </w:rPr>
        <w:t xml:space="preserve">Kuala Lumpur</w:t>
      </w:r>
      <w:r>
        <w:t xml:space="preserve"> </w:t>
      </w:r>
      <w:r>
        <w:t xml:space="preserve">where the judiciary asserted its authority. This source is essential for anyone studying the political context in which a</w:t>
      </w:r>
      <w:r>
        <w:t xml:space="preserve"> </w:t>
      </w:r>
      <w:r>
        <w:rPr>
          <w:bCs/>
          <w:b/>
        </w:rPr>
        <w:t xml:space="preserve">Judge</w:t>
      </w:r>
      <w:r>
        <w:t xml:space="preserve"> </w:t>
      </w:r>
      <w:r>
        <w:t xml:space="preserve">operates in the Malaysian capital.</w:t>
      </w:r>
    </w:p>
    <w:bookmarkEnd w:id="21"/>
    <w:bookmarkStart w:id="22" w:name="judicial-ethics-and-professional-conduct"/>
    <w:p>
      <w:pPr>
        <w:pStyle w:val="Heading2"/>
      </w:pPr>
      <w:r>
        <w:t xml:space="preserve">Judicial Ethics and Professional Conduct</w:t>
      </w:r>
    </w:p>
    <w:p>
      <w:pPr>
        <w:pStyle w:val="FirstParagraph"/>
      </w:pPr>
      <w:r>
        <w:t xml:space="preserve">Judicial and Legal Service Commission. (2021).</w:t>
      </w:r>
      <w:r>
        <w:t xml:space="preserve"> </w:t>
      </w:r>
      <w:r>
        <w:rPr>
          <w:iCs/>
          <w:i/>
        </w:rPr>
        <w:t xml:space="preserve">Code of Judicial Ethics for the Malaysian Judiciary</w:t>
      </w:r>
      <w:r>
        <w:t xml:space="preserve">. Putrajaya: JLS.</w:t>
      </w:r>
    </w:p>
    <w:p>
      <w:pPr>
        <w:pStyle w:val="BodyText"/>
      </w:pPr>
      <w:r>
        <w:t xml:space="preserve">This document outlines the ethical standards expected of every</w:t>
      </w:r>
      <w:r>
        <w:t xml:space="preserve"> </w:t>
      </w:r>
      <w:r>
        <w:rPr>
          <w:bCs/>
          <w:b/>
        </w:rPr>
        <w:t xml:space="preserve">Judge</w:t>
      </w:r>
      <w:r>
        <w:t xml:space="preserve"> </w:t>
      </w:r>
      <w:r>
        <w:t xml:space="preserve">in</w:t>
      </w:r>
      <w:r>
        <w:t xml:space="preserve"> </w:t>
      </w:r>
      <w:r>
        <w:rPr>
          <w:bCs/>
          <w:b/>
        </w:rPr>
        <w:t xml:space="preserve">Malaysia</w:t>
      </w:r>
      <w:r>
        <w:t xml:space="preserve">, including those presiding over courts in</w:t>
      </w:r>
      <w:r>
        <w:t xml:space="preserve"> </w:t>
      </w:r>
      <w:r>
        <w:rPr>
          <w:bCs/>
          <w:b/>
        </w:rPr>
        <w:t xml:space="preserve">Kuala Lumpur</w:t>
      </w:r>
      <w:r>
        <w:t xml:space="preserve">. It covers impartiality, integrity, propriety, and diligence. Given the high-profile nature of cases often heard in</w:t>
      </w:r>
      <w:r>
        <w:t xml:space="preserve"> </w:t>
      </w:r>
      <w:r>
        <w:rPr>
          <w:bCs/>
          <w:b/>
        </w:rPr>
        <w:t xml:space="preserve">Kuala Lumpur</w:t>
      </w:r>
      <w:r>
        <w:t xml:space="preserve">, adherence to this code is paramount to maintaining public confidence in the judiciary. The text provides specific guidelines on recusal and ex parte communications, which are critical for a</w:t>
      </w:r>
      <w:r>
        <w:t xml:space="preserve"> </w:t>
      </w:r>
      <w:r>
        <w:rPr>
          <w:bCs/>
          <w:b/>
        </w:rPr>
        <w:t xml:space="preserve">Judge</w:t>
      </w:r>
      <w:r>
        <w:t xml:space="preserve"> </w:t>
      </w:r>
      <w:r>
        <w:t xml:space="preserve">navigating complex litigation in the capital. It serves as a practical manual for judicial officers to ensure their conduct aligns with the highest standards of the Malaysian legal profession.</w:t>
      </w:r>
    </w:p>
    <w:p>
      <w:pPr>
        <w:pStyle w:val="BodyText"/>
      </w:pPr>
      <w:r>
        <w:t xml:space="preserve">Tan, S. L. (2020).</w:t>
      </w:r>
      <w:r>
        <w:t xml:space="preserve"> </w:t>
      </w:r>
      <w:r>
        <w:rPr>
          <w:iCs/>
          <w:i/>
        </w:rPr>
        <w:t xml:space="preserve">Judicial Accountability and Transparency in Malaysia</w:t>
      </w:r>
      <w:r>
        <w:t xml:space="preserve">.</w:t>
      </w:r>
      <w:r>
        <w:t xml:space="preserve"> </w:t>
      </w:r>
      <w:r>
        <w:rPr>
          <w:iCs/>
          <w:i/>
        </w:rPr>
        <w:t xml:space="preserve">Malaysian Journal of Legal Studies</w:t>
      </w:r>
      <w:r>
        <w:t xml:space="preserve">, 12(1), 45-67.</w:t>
      </w:r>
    </w:p>
    <w:p>
      <w:pPr>
        <w:pStyle w:val="BodyText"/>
      </w:pPr>
      <w:r>
        <w:t xml:space="preserve">Tan explores the mechanisms of accountability for a</w:t>
      </w:r>
      <w:r>
        <w:t xml:space="preserve"> </w:t>
      </w:r>
      <w:r>
        <w:rPr>
          <w:bCs/>
          <w:b/>
        </w:rPr>
        <w:t xml:space="preserve">Judge</w:t>
      </w:r>
      <w:r>
        <w:t xml:space="preserve"> </w:t>
      </w:r>
      <w:r>
        <w:t xml:space="preserve">in</w:t>
      </w:r>
      <w:r>
        <w:t xml:space="preserve"> </w:t>
      </w:r>
      <w:r>
        <w:rPr>
          <w:bCs/>
          <w:b/>
        </w:rPr>
        <w:t xml:space="preserve">Malaysia</w:t>
      </w:r>
      <w:r>
        <w:t xml:space="preserve">, focusing on the balance between independence and responsibility. The article discusses the role of the Judicial and Legal Service Commission (JLS) in disciplining judges. It highlights how transparency initiatives in</w:t>
      </w:r>
      <w:r>
        <w:t xml:space="preserve"> </w:t>
      </w:r>
      <w:r>
        <w:rPr>
          <w:bCs/>
          <w:b/>
        </w:rPr>
        <w:t xml:space="preserve">Kuala Lumpur</w:t>
      </w:r>
      <w:r>
        <w:t xml:space="preserve"> </w:t>
      </w:r>
      <w:r>
        <w:t xml:space="preserve">courts, such as live streaming of proceedings, impact judicial behavior. This source is valuable for understanding how modern pressures affect the</w:t>
      </w:r>
      <w:r>
        <w:t xml:space="preserve"> </w:t>
      </w:r>
      <w:r>
        <w:rPr>
          <w:bCs/>
          <w:b/>
        </w:rPr>
        <w:t xml:space="preserve">Judge</w:t>
      </w:r>
      <w:r>
        <w:t xml:space="preserve"> </w:t>
      </w:r>
      <w:r>
        <w:t xml:space="preserve">in the digital age. It argues that accountability strengthens the judiciary’s legitimacy in the eyes of the public in</w:t>
      </w:r>
      <w:r>
        <w:t xml:space="preserve"> </w:t>
      </w:r>
      <w:r>
        <w:rPr>
          <w:bCs/>
          <w:b/>
        </w:rPr>
        <w:t xml:space="preserve">Kuala Lumpur</w:t>
      </w:r>
      <w:r>
        <w:t xml:space="preserve"> </w:t>
      </w:r>
      <w:r>
        <w:t xml:space="preserve">and beyond.</w:t>
      </w:r>
    </w:p>
    <w:bookmarkEnd w:id="22"/>
    <w:bookmarkStart w:id="23" w:name="Xb99ec68cdddbfc0e413650206582a43d804678f"/>
    <w:p>
      <w:pPr>
        <w:pStyle w:val="Heading2"/>
      </w:pPr>
      <w:r>
        <w:t xml:space="preserve">Case Law and Judicial Reasoning in Kuala Lumpur</w:t>
      </w:r>
    </w:p>
    <w:p>
      <w:pPr>
        <w:pStyle w:val="FirstParagraph"/>
      </w:pPr>
      <w:r>
        <w:rPr>
          <w:iCs/>
          <w:i/>
        </w:rPr>
        <w:t xml:space="preserve">Joseph v. Government of Malaysia</w:t>
      </w:r>
      <w:r>
        <w:t xml:space="preserve"> </w:t>
      </w:r>
      <w:r>
        <w:t xml:space="preserve">[2000] 1 MLJ 1. Federal Court of Malaysia.</w:t>
      </w:r>
    </w:p>
    <w:p>
      <w:pPr>
        <w:pStyle w:val="BodyText"/>
      </w:pPr>
      <w:r>
        <w:t xml:space="preserve">This landmark case is pivotal in understanding the scope of judicial review in</w:t>
      </w:r>
      <w:r>
        <w:t xml:space="preserve"> </w:t>
      </w:r>
      <w:r>
        <w:rPr>
          <w:bCs/>
          <w:b/>
        </w:rPr>
        <w:t xml:space="preserve">Malaysia</w:t>
      </w:r>
      <w:r>
        <w:t xml:space="preserve">. Heard in the Federal Court in</w:t>
      </w:r>
      <w:r>
        <w:t xml:space="preserve"> </w:t>
      </w:r>
      <w:r>
        <w:rPr>
          <w:bCs/>
          <w:b/>
        </w:rPr>
        <w:t xml:space="preserve">Kuala Lumpur</w:t>
      </w:r>
      <w:r>
        <w:t xml:space="preserve">, the judgment reaffirmed the power of the</w:t>
      </w:r>
      <w:r>
        <w:t xml:space="preserve"> </w:t>
      </w:r>
      <w:r>
        <w:rPr>
          <w:bCs/>
          <w:b/>
        </w:rPr>
        <w:t xml:space="preserve">Judge</w:t>
      </w:r>
      <w:r>
        <w:t xml:space="preserve"> </w:t>
      </w:r>
      <w:r>
        <w:t xml:space="preserve">to review administrative actions for legality. The decision is a cornerstone for administrative law practitioners in</w:t>
      </w:r>
      <w:r>
        <w:t xml:space="preserve"> </w:t>
      </w:r>
      <w:r>
        <w:rPr>
          <w:bCs/>
          <w:b/>
        </w:rPr>
        <w:t xml:space="preserve">Kuala Lumpur</w:t>
      </w:r>
      <w:r>
        <w:t xml:space="preserve">. It demonstrates the</w:t>
      </w:r>
      <w:r>
        <w:t xml:space="preserve"> </w:t>
      </w:r>
      <w:r>
        <w:rPr>
          <w:bCs/>
          <w:b/>
        </w:rPr>
        <w:t xml:space="preserve">Judge</w:t>
      </w:r>
      <w:r>
        <w:t xml:space="preserve">'s role as a guardian of constitutional rights against arbitrary state action. The reasoning provided in this case is frequently cited in subsequent litigation in the High Court of</w:t>
      </w:r>
      <w:r>
        <w:t xml:space="preserve"> </w:t>
      </w:r>
      <w:r>
        <w:rPr>
          <w:bCs/>
          <w:b/>
        </w:rPr>
        <w:t xml:space="preserve">Kuala Lumpur</w:t>
      </w:r>
      <w:r>
        <w:t xml:space="preserve">, making it a critical reference for legal research.</w:t>
      </w:r>
    </w:p>
    <w:p>
      <w:pPr>
        <w:pStyle w:val="BodyText"/>
      </w:pPr>
      <w:r>
        <w:rPr>
          <w:iCs/>
          <w:i/>
        </w:rPr>
        <w:t xml:space="preserve">PP v. Zulkifli Mohamad Al-Bakri</w:t>
      </w:r>
      <w:r>
        <w:t xml:space="preserve"> </w:t>
      </w:r>
      <w:r>
        <w:t xml:space="preserve">[2020] 4 MLJ 1. Federal Court of Malaysia.</w:t>
      </w:r>
    </w:p>
    <w:p>
      <w:pPr>
        <w:pStyle w:val="BodyText"/>
      </w:pPr>
      <w:r>
        <w:t xml:space="preserve">This high-profile criminal case, adjudicated in</w:t>
      </w:r>
      <w:r>
        <w:t xml:space="preserve"> </w:t>
      </w:r>
      <w:r>
        <w:rPr>
          <w:bCs/>
          <w:b/>
        </w:rPr>
        <w:t xml:space="preserve">Kuala Lumpur</w:t>
      </w:r>
      <w:r>
        <w:t xml:space="preserve">, underscores the impartiality and courage required of a</w:t>
      </w:r>
      <w:r>
        <w:t xml:space="preserve"> </w:t>
      </w:r>
      <w:r>
        <w:rPr>
          <w:bCs/>
          <w:b/>
        </w:rPr>
        <w:t xml:space="preserve">Judge</w:t>
      </w:r>
      <w:r>
        <w:t xml:space="preserve"> </w:t>
      </w:r>
      <w:r>
        <w:t xml:space="preserve">in</w:t>
      </w:r>
      <w:r>
        <w:t xml:space="preserve"> </w:t>
      </w:r>
      <w:r>
        <w:rPr>
          <w:bCs/>
          <w:b/>
        </w:rPr>
        <w:t xml:space="preserve">Malaysia</w:t>
      </w:r>
      <w:r>
        <w:t xml:space="preserve">. The Federal Court’s decision to uphold the conviction of a former Prime Minister illustrates the judiciary’s independence from political influence. For legal scholars, this case is a prime example of the</w:t>
      </w:r>
      <w:r>
        <w:t xml:space="preserve"> </w:t>
      </w:r>
      <w:r>
        <w:rPr>
          <w:bCs/>
          <w:b/>
        </w:rPr>
        <w:t xml:space="preserve">Judge</w:t>
      </w:r>
      <w:r>
        <w:t xml:space="preserve"> </w:t>
      </w:r>
      <w:r>
        <w:t xml:space="preserve">applying the law strictly, regardless of the defendant’s status. It reinforces the principle that in</w:t>
      </w:r>
      <w:r>
        <w:t xml:space="preserve"> </w:t>
      </w:r>
      <w:r>
        <w:rPr>
          <w:bCs/>
          <w:b/>
        </w:rPr>
        <w:t xml:space="preserve">Kuala Lumpur</w:t>
      </w:r>
      <w:r>
        <w:t xml:space="preserve">, as in the rest of</w:t>
      </w:r>
      <w:r>
        <w:t xml:space="preserve"> </w:t>
      </w:r>
      <w:r>
        <w:rPr>
          <w:bCs/>
          <w:b/>
        </w:rPr>
        <w:t xml:space="preserve">Malaysia</w:t>
      </w:r>
      <w:r>
        <w:t xml:space="preserve">, no one is above the law. This source is essential for analyzing the practical application of judicial independence in politically sensitive cases.</w:t>
      </w:r>
    </w:p>
    <w:bookmarkEnd w:id="23"/>
    <w:bookmarkStart w:id="24" w:name="X1076557250863ff88481d9eec4f92d3ecf35693"/>
    <w:p>
      <w:pPr>
        <w:pStyle w:val="Heading2"/>
      </w:pPr>
      <w:r>
        <w:t xml:space="preserve">Access to Justice and Court Administration</w:t>
      </w:r>
    </w:p>
    <w:p>
      <w:pPr>
        <w:pStyle w:val="FirstParagraph"/>
      </w:pPr>
      <w:r>
        <w:t xml:space="preserve">Ministry of Law and Justice Malaysia. (2022).</w:t>
      </w:r>
      <w:r>
        <w:t xml:space="preserve"> </w:t>
      </w:r>
      <w:r>
        <w:rPr>
          <w:iCs/>
          <w:i/>
        </w:rPr>
        <w:t xml:space="preserve">Annual Report on the Administration of Justice</w:t>
      </w:r>
      <w:r>
        <w:t xml:space="preserve">. Kuala Lumpur: MOJ.</w:t>
      </w:r>
    </w:p>
    <w:p>
      <w:pPr>
        <w:pStyle w:val="BodyText"/>
      </w:pPr>
      <w:r>
        <w:t xml:space="preserve">This official report provides statistical data and insights into the operations of the courts in</w:t>
      </w:r>
      <w:r>
        <w:t xml:space="preserve"> </w:t>
      </w:r>
      <w:r>
        <w:rPr>
          <w:bCs/>
          <w:b/>
        </w:rPr>
        <w:t xml:space="preserve">Malaysia</w:t>
      </w:r>
      <w:r>
        <w:t xml:space="preserve">, with a significant focus on the caseload in</w:t>
      </w:r>
      <w:r>
        <w:t xml:space="preserve"> </w:t>
      </w:r>
      <w:r>
        <w:rPr>
          <w:bCs/>
          <w:b/>
        </w:rPr>
        <w:t xml:space="preserve">Kuala Lumpur</w:t>
      </w:r>
      <w:r>
        <w:t xml:space="preserve">. It highlights the challenges faced by a</w:t>
      </w:r>
      <w:r>
        <w:t xml:space="preserve"> </w:t>
      </w:r>
      <w:r>
        <w:rPr>
          <w:bCs/>
          <w:b/>
        </w:rPr>
        <w:t xml:space="preserve">Judge</w:t>
      </w:r>
      <w:r>
        <w:t xml:space="preserve"> </w:t>
      </w:r>
      <w:r>
        <w:t xml:space="preserve">in managing backlogs and ensuring timely justice. The report discusses initiatives to improve court efficiency, such as the implementation of e-filing systems in</w:t>
      </w:r>
      <w:r>
        <w:t xml:space="preserve"> </w:t>
      </w:r>
      <w:r>
        <w:rPr>
          <w:bCs/>
          <w:b/>
        </w:rPr>
        <w:t xml:space="preserve">Kuala Lumpur</w:t>
      </w:r>
      <w:r>
        <w:t xml:space="preserve">. It is a useful resource for understanding the administrative context in which a</w:t>
      </w:r>
      <w:r>
        <w:t xml:space="preserve"> </w:t>
      </w:r>
      <w:r>
        <w:rPr>
          <w:bCs/>
          <w:b/>
        </w:rPr>
        <w:t xml:space="preserve">Judge</w:t>
      </w:r>
      <w:r>
        <w:t xml:space="preserve"> </w:t>
      </w:r>
      <w:r>
        <w:t xml:space="preserve">operates. The data presented helps in assessing the effectiveness of judicial reforms aimed at enhancing access to justice for the citizens of</w:t>
      </w:r>
      <w:r>
        <w:t xml:space="preserve"> </w:t>
      </w:r>
      <w:r>
        <w:rPr>
          <w:bCs/>
          <w:b/>
        </w:rPr>
        <w:t xml:space="preserve">Kuala Lumpur</w:t>
      </w:r>
      <w:r>
        <w:t xml:space="preserve">.</w:t>
      </w:r>
    </w:p>
    <w:p>
      <w:pPr>
        <w:pStyle w:val="BodyText"/>
      </w:pPr>
      <w:r>
        <w:t xml:space="preserve">Lim, L. L. (2021).</w:t>
      </w:r>
      <w:r>
        <w:t xml:space="preserve"> </w:t>
      </w:r>
      <w:r>
        <w:rPr>
          <w:iCs/>
          <w:i/>
        </w:rPr>
        <w:t xml:space="preserve">Commercial Litigation in Kuala Lumpur: Trends and Challenges</w:t>
      </w:r>
      <w:r>
        <w:t xml:space="preserve">.</w:t>
      </w:r>
      <w:r>
        <w:t xml:space="preserve"> </w:t>
      </w:r>
      <w:r>
        <w:rPr>
          <w:iCs/>
          <w:i/>
        </w:rPr>
        <w:t xml:space="preserve">Asian Business Law Review</w:t>
      </w:r>
      <w:r>
        <w:t xml:space="preserve">, 8(2), 112-130.</w:t>
      </w:r>
    </w:p>
    <w:p>
      <w:pPr>
        <w:pStyle w:val="BodyText"/>
      </w:pPr>
      <w:r>
        <w:t xml:space="preserve">Lim’s article examines the role of the</w:t>
      </w:r>
      <w:r>
        <w:t xml:space="preserve"> </w:t>
      </w:r>
      <w:r>
        <w:rPr>
          <w:bCs/>
          <w:b/>
        </w:rPr>
        <w:t xml:space="preserve">Judge</w:t>
      </w:r>
      <w:r>
        <w:t xml:space="preserve"> </w:t>
      </w:r>
      <w:r>
        <w:t xml:space="preserve">in commercial disputes within</w:t>
      </w:r>
      <w:r>
        <w:t xml:space="preserve"> </w:t>
      </w:r>
      <w:r>
        <w:rPr>
          <w:bCs/>
          <w:b/>
        </w:rPr>
        <w:t xml:space="preserve">Kuala Lumpur</w:t>
      </w:r>
      <w:r>
        <w:t xml:space="preserve">, a major financial hub in</w:t>
      </w:r>
      <w:r>
        <w:t xml:space="preserve"> </w:t>
      </w:r>
      <w:r>
        <w:rPr>
          <w:bCs/>
          <w:b/>
        </w:rPr>
        <w:t xml:space="preserve">Malaysia</w:t>
      </w:r>
      <w:r>
        <w:t xml:space="preserve">. It discusses the expertise required for judges handling complex corporate and financial cases. The author notes the increasing specialization of the judiciary in</w:t>
      </w:r>
      <w:r>
        <w:t xml:space="preserve"> </w:t>
      </w:r>
      <w:r>
        <w:rPr>
          <w:bCs/>
          <w:b/>
        </w:rPr>
        <w:t xml:space="preserve">Kuala Lumpur</w:t>
      </w:r>
      <w:r>
        <w:t xml:space="preserve"> </w:t>
      </w:r>
      <w:r>
        <w:t xml:space="preserve">to meet the demands of international commerce. This source is relevant for understanding how the</w:t>
      </w:r>
      <w:r>
        <w:t xml:space="preserve"> </w:t>
      </w:r>
      <w:r>
        <w:rPr>
          <w:bCs/>
          <w:b/>
        </w:rPr>
        <w:t xml:space="preserve">Judge</w:t>
      </w:r>
      <w:r>
        <w:t xml:space="preserve"> </w:t>
      </w:r>
      <w:r>
        <w:t xml:space="preserve">adapts to the evolving legal landscape in the capital. It highlights the importance of judicial competence in maintaining</w:t>
      </w:r>
      <w:r>
        <w:t xml:space="preserve"> </w:t>
      </w:r>
      <w:r>
        <w:rPr>
          <w:bCs/>
          <w:b/>
        </w:rPr>
        <w:t xml:space="preserve">Kuala Lumpur</w:t>
      </w:r>
      <w:r>
        <w:t xml:space="preserve">’s reputation as a center for commercial arbitration and litigation in</w:t>
      </w:r>
      <w:r>
        <w:t xml:space="preserve"> </w:t>
      </w:r>
      <w:r>
        <w:rPr>
          <w:bCs/>
          <w:b/>
        </w:rPr>
        <w:t xml:space="preserve">Malaysia</w:t>
      </w:r>
      <w:r>
        <w:t xml:space="preserve">.</w:t>
      </w:r>
    </w:p>
    <w:bookmarkEnd w:id="24"/>
    <w:p>
      <w:pPr>
        <w:pStyle w:val="BodyText"/>
      </w:pPr>
      <w:r>
        <w:t xml:space="preserve">This annotated bibliography is intended for educational and informational purposes. It reflects the legal landscape of</w:t>
      </w:r>
      <w:r>
        <w:t xml:space="preserve"> </w:t>
      </w:r>
      <w:r>
        <w:rPr>
          <w:bCs/>
          <w:b/>
        </w:rPr>
        <w:t xml:space="preserve">Malaysia</w:t>
      </w:r>
      <w:r>
        <w:t xml:space="preserve"> </w:t>
      </w:r>
      <w:r>
        <w:t xml:space="preserve">and the judicial system in</w:t>
      </w:r>
      <w:r>
        <w:t xml:space="preserve"> </w:t>
      </w:r>
      <w:r>
        <w:rPr>
          <w:bCs/>
          <w:b/>
        </w:rPr>
        <w:t xml:space="preserve">Kuala Lumpur</w:t>
      </w:r>
      <w:r>
        <w:t xml:space="preserve"> </w:t>
      </w:r>
      <w:r>
        <w:t xml:space="preserve">as of the latest available data. The role of the</w:t>
      </w:r>
      <w:r>
        <w:t xml:space="preserve"> </w:t>
      </w:r>
      <w:r>
        <w:rPr>
          <w:bCs/>
          <w:b/>
        </w:rPr>
        <w:t xml:space="preserve">Judge</w:t>
      </w:r>
      <w:r>
        <w:t xml:space="preserve"> </w:t>
      </w:r>
      <w:r>
        <w:t xml:space="preserve">remains central to the administration of justice in the nation.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the Malaysian Judiciary (Kuala Lumpur Context)</dc:title>
  <dc:creator/>
  <dc:language>en</dc:language>
  <cp:keywords/>
  <dcterms:created xsi:type="dcterms:W3CDTF">2026-08-07T14:28:08Z</dcterms:created>
  <dcterms:modified xsi:type="dcterms:W3CDTF">2026-08-07T14:28:08Z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