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annotated-bibliography"/>
    <w:p>
      <w:pPr>
        <w:pStyle w:val="Heading1"/>
      </w:pPr>
      <w:r>
        <w:t xml:space="preserve">Annotated Bibliography</w:t>
      </w:r>
    </w:p>
    <w:bookmarkStart w:id="20" w:name="X94a730fcfc37ed8f04b4fad915e6d684bacfb6f"/>
    <w:p>
      <w:pPr>
        <w:pStyle w:val="Heading2"/>
      </w:pPr>
      <w:r>
        <w:t xml:space="preserve">The Role and Evolution of the Judge in Jeddah, Saudi Arabia</w:t>
      </w:r>
    </w:p>
    <w:bookmarkEnd w:id="20"/>
    <w:bookmarkEnd w:id="21"/>
    <w:p>
      <w:pPr>
        <w:pStyle w:val="FirstParagraph"/>
      </w:pPr>
      <w:r>
        <w:t xml:space="preserve">The following annotated bibliography provides a comprehensive overview of the legal landscape concerning the judiciary in Saudi Arabia, with a specific focus on the commercial and civil courts of Jeddah. As the Kingdom undergoes significant judicial reforms under Vision 2030, the role of the judge has shifted from a traditional reliance on religious interpretation to a more codified, professionalized system. Jeddah, as the commercial capital of the Kingdom, serves as a critical testing ground for these reforms, particularly regarding commercial dispute resolution and the integration of international legal standards. The selected sources below examine the historical context, the current legal framework, and the future trajectory of judicial authority in this dynamic environment.</w:t>
      </w:r>
    </w:p>
    <w:p>
      <w:pPr>
        <w:pStyle w:val="BodyText"/>
      </w:pPr>
      <w:r>
        <w:t xml:space="preserve">Al-Rasheed, Madawi. "A Quiet Revolution: The Modernization of Family Law in Saudi Arabia." Oxford University Press, 2013.</w:t>
      </w:r>
    </w:p>
    <w:p>
      <w:pPr>
        <w:pStyle w:val="BodyText"/>
      </w:pPr>
      <w:r>
        <w:t xml:space="preserve">Although primarily focused on family law, Al-Rasheed’s work is essential for understanding the historical baseline of the Saudi judge. The text details the transition from informal religious arbitration to formalized court structures. For a judge in Jeddah, this historical context is vital, as it explains the lingering influence of traditional Hanbali jurisprudence in modern rulings. The book highlights how judges in major cities like Jeddah have historically balanced strict religious adherence with the practical needs of a growing urban population, setting the stage for contemporary reforms.</w:t>
      </w:r>
    </w:p>
    <w:p>
      <w:pPr>
        <w:pStyle w:val="BodyText"/>
      </w:pPr>
      <w:r>
        <w:t xml:space="preserve">Baker, Nasser. "The Saudi Judiciary: Reform and Modernization." In "The Saudi Legal System," edited by Nasser Baker, 2nd ed., Kluwer Law International, 2019.</w:t>
      </w:r>
    </w:p>
    <w:p>
      <w:pPr>
        <w:pStyle w:val="BodyText"/>
      </w:pPr>
      <w:r>
        <w:t xml:space="preserve">This chapter provides a technical analysis of the Supreme Court’s establishment and its impact on lower courts in regions like the Makkah Province, where Jeddah is located. Baker outlines the new requirements for judicial appointments, emphasizing the necessity of formal legal education over purely religious credentials. For the modern judge in Jeddah, this source is critical as it defines the new professional standards and the hierarchical accountability that now governs judicial conduct, ensuring greater consistency in commercial and civil judgments.</w:t>
      </w:r>
    </w:p>
    <w:p>
      <w:pPr>
        <w:pStyle w:val="BodyText"/>
      </w:pPr>
      <w:r>
        <w:t xml:space="preserve">Central Bank of Saudi Arabia. "Regulation of the Banking Sector and Dispute Resolution Mechanisms." SAMA Publications, 2021.</w:t>
      </w:r>
    </w:p>
    <w:p>
      <w:pPr>
        <w:pStyle w:val="BodyText"/>
      </w:pPr>
      <w:r>
        <w:t xml:space="preserve">Given Jeddah’s status as a financial hub, this regulatory document is highly relevant to judges presiding over commercial cases. It outlines the specialized procedures for banking disputes and the role of the judge in interpreting financial regulations. The text underscores the shift towards specialized commercial courts in Jeddah, where judges are expected to possess not only legal knowledge but also an understanding of international banking practices. This source is instrumental for understanding the intersection of financial regulation and judicial authority in the Kingdom’s economic capital.</w:t>
      </w:r>
    </w:p>
    <w:p>
      <w:pPr>
        <w:pStyle w:val="BodyText"/>
      </w:pPr>
      <w:r>
        <w:t xml:space="preserve">El-Gamal, Mahmoud A. "Islamic Finance Law: An Economic Analysis." Cambridge University Press, 2006.</w:t>
      </w:r>
    </w:p>
    <w:p>
      <w:pPr>
        <w:pStyle w:val="BodyText"/>
      </w:pPr>
      <w:r>
        <w:t xml:space="preserve">While a broader academic text, El-Gamal’s analysis is frequently cited by judges in Jeddah when dealing with complex financial instruments. The book provides a rigorous framework for understanding Sharia-compliant finance, which is the foundation of the Saudi legal system. For a judge in Jeddah, this work serves as a reference for interpreting modern financial contracts within the bounds of Islamic law, ensuring that judicial decisions in the commercial sector are both legally sound and religiously compliant.</w:t>
      </w:r>
    </w:p>
    <w:p>
      <w:pPr>
        <w:pStyle w:val="BodyText"/>
      </w:pPr>
      <w:r>
        <w:t xml:space="preserve">Kingdom of Saudi Arabia. "Law of Procedure before Shari'a Courts." Royal Decree No. M/1, 2013.</w:t>
      </w:r>
    </w:p>
    <w:p>
      <w:pPr>
        <w:pStyle w:val="BodyText"/>
      </w:pPr>
      <w:r>
        <w:t xml:space="preserve">This is the primary procedural code governing the conduct of judges in Saudi Arabia. It details the steps for filing cases, evidence presentation, and the issuance of judgments. For a judge in Jeddah, this law is the operational manual that standardizes court procedures across the Kingdom. It marks a significant departure from informal practices, introducing strict timelines and procedural fairness. The document is essential for understanding the formal constraints and powers of a judge in the current legal environment.</w:t>
      </w:r>
    </w:p>
    <w:p>
      <w:pPr>
        <w:pStyle w:val="BodyText"/>
      </w:pPr>
      <w:r>
        <w:t xml:space="preserve">Mouawad, Joseph. "Commercial Law in Saudi Arabia: A Practical Guide." Thomson Reuters, 2020.</w:t>
      </w:r>
    </w:p>
    <w:p>
      <w:pPr>
        <w:pStyle w:val="BodyText"/>
      </w:pPr>
      <w:r>
        <w:t xml:space="preserve">This practical guide is tailored for legal practitioners and judges dealing with commercial disputes in major cities like Jeddah. It analyzes the new Commercial Courts Law and its implementation. The text highlights how judges in Jeddah are adapting to a more predictable legal environment designed to attract foreign investment. It provides case studies and examples of how commercial judges are interpreting new laws, making it a valuable resource for understanding the practical application of judicial reforms in the Kingdom’s business sector.</w:t>
      </w:r>
    </w:p>
    <w:p>
      <w:pPr>
        <w:pStyle w:val="BodyText"/>
      </w:pPr>
      <w:r>
        <w:t xml:space="preserve">Saudi Arabian Monetary Authority (SAMA). "Guidelines for the Implementation of the Commercial Courts Law." SAMA, 2022.</w:t>
      </w:r>
    </w:p>
    <w:p>
      <w:pPr>
        <w:pStyle w:val="BodyText"/>
      </w:pPr>
      <w:r>
        <w:t xml:space="preserve">These guidelines provide specific instructions for judges in commercial courts, including those in Jeddah. They cover areas such as electronic filing, arbitration recognition, and the enforcement of foreign judgments. The document reflects the Kingdom’s commitment to aligning its judicial processes with international standards. For a judge in Jeddah, these guidelines are crucial for navigating the complexities of cross-border commercial disputes and ensuring that the local judiciary remains competitive and efficient.</w:t>
      </w:r>
    </w:p>
    <w:p>
      <w:pPr>
        <w:pStyle w:val="BodyText"/>
      </w:pPr>
      <w:r>
        <w:t xml:space="preserve">Vision 2030 Implementation Committee. "Judicial Reform Strategy: Enhancing Efficiency and Transparency." Government of Saudi Arabia, 2018.</w:t>
      </w:r>
    </w:p>
    <w:p>
      <w:pPr>
        <w:pStyle w:val="BodyText"/>
      </w:pPr>
      <w:r>
        <w:t xml:space="preserve">This strategic document outlines the long-term goals for the Saudi judiciary, including the digitization of court services and the reduction of case backlogs. For judges in Jeddah, this strategy represents the future of their profession, emphasizing the use of technology and data-driven decision-making. The document highlights the importance of judicial transparency and accountability, key themes in the modernization of the legal system in Saudi Arabia’s largest commercial city.</w:t>
      </w:r>
    </w:p>
    <w:p>
      <w:pPr>
        <w:pStyle w:val="BodyText"/>
      </w:pPr>
      <w:r>
        <w:t xml:space="preserve">© 2023 Annotated Bibliography on the Judiciary in Jeddah, Saudi Arabia.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Jeddah, Saudi Arabia</dc:title>
  <dc:creator/>
  <dc:language>en</dc:language>
  <cp:keywords/>
  <dcterms:created xsi:type="dcterms:W3CDTF">2026-08-07T03:02:04Z</dcterms:created>
  <dcterms:modified xsi:type="dcterms:W3CDTF">2026-08-07T03:02:04Z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