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Riyadh,</w:t>
      </w:r>
      <w:r>
        <w:t xml:space="preserve"> </w:t>
      </w:r>
      <w:r>
        <w:t xml:space="preserve">Saudi</w:t>
      </w:r>
      <w:r>
        <w:t xml:space="preserve"> </w:t>
      </w:r>
      <w:r>
        <w:t xml:space="preserve">Arabia</w:t>
      </w:r>
    </w:p>
    <w:bookmarkStart w:id="22" w:name="X9a297a7d009c466e6932f9efcb0118799aac2b3"/>
    <w:p>
      <w:pPr>
        <w:pStyle w:val="Heading1"/>
      </w:pPr>
      <w:r>
        <w:t xml:space="preserve">Annotated Bibliography: The Role of the Judge in Riyadh, Saudi Arabia</w:t>
      </w:r>
    </w:p>
    <w:p>
      <w:pPr>
        <w:pStyle w:val="FirstParagraph"/>
      </w:pPr>
      <w:r>
        <w:t xml:space="preserve">The following annotated bibliography provides a comprehensive overview of the evolving role of the judge within the judicial system of Saudi Arabia, with a specific focus on the capital city, Riyadh. As the administrative and legal heart of the Kingdom, Riyadh serves as the primary venue for the Supreme Court and the implementation of the Vision 2030 judicial reforms. The selected sources examine the transition from traditional Sharia-based adjudication to a more codified, structured legal framework, highlighting the professionalization of the judiciary, the integration of technology in courtrooms, and the specific responsibilities of judges in maintaining legal order in a rapidly modernizing society.</w:t>
      </w:r>
    </w:p>
    <w:bookmarkStart w:id="20" w:name="primary-sources-and-legal-frameworks"/>
    <w:p>
      <w:pPr>
        <w:pStyle w:val="Heading2"/>
      </w:pPr>
      <w:r>
        <w:t xml:space="preserve">Primary Sources and Legal Frameworks</w:t>
      </w:r>
    </w:p>
    <w:p>
      <w:pPr>
        <w:pStyle w:val="FirstParagraph"/>
      </w:pPr>
      <w:r>
        <w:t xml:space="preserve"> </w:t>
      </w:r>
      <w:r>
        <w:t xml:space="preserve">The Basic Law of Governance. (1992). Royal Decree No. A/90. Kingdom of Saudi Arabia.</w:t>
      </w:r>
      <w:r>
        <w:t xml:space="preserve"> </w:t>
      </w:r>
    </w:p>
    <w:p>
      <w:pPr>
        <w:pStyle w:val="BodyText"/>
      </w:pPr>
      <w:r>
        <w:t xml:space="preserve">This foundational document serves as the constitutional basis for the Saudi legal system. It explicitly states that the King is the highest authority in the state and that the judiciary is an independent authority. For the judge in Riyadh, this law is paramount as it defines the scope of judicial power and the obligation to rule according to the Holy Quran and the Sunnah of the Prophet. This source is critical for understanding the theoretical limits of a judge's discretion and the mandate to uphold Islamic law while operating within the state's administrative hierarchy.</w:t>
      </w:r>
    </w:p>
    <w:p>
      <w:pPr>
        <w:pStyle w:val="BodyText"/>
      </w:pPr>
      <w:r>
        <w:t xml:space="preserve"> </w:t>
      </w:r>
      <w:r>
        <w:t xml:space="preserve">The Law of the Judiciary. (2007). Royal Decree No. M/78. Kingdom of Saudi Arabia.</w:t>
      </w:r>
      <w:r>
        <w:t xml:space="preserve"> </w:t>
      </w:r>
    </w:p>
    <w:p>
      <w:pPr>
        <w:pStyle w:val="BodyText"/>
      </w:pPr>
      <w:r>
        <w:t xml:space="preserve">This legislation outlines the structure of the courts, including the Supreme Court, Courts of Appeal, and Summary Courts, many of which are headquartered in Riyadh. It details the qualifications required to become a judge, emphasizing the necessity of specialized Islamic legal education and training at the Judicial Academy. For researchers studying the judge in Saudi Arabia, this text provides the statutory requirements for judicial appointment, tenure, and immunity, marking a shift toward a more formalized career path for legal professionals in the Kingdom.</w:t>
      </w:r>
    </w:p>
    <w:p>
      <w:pPr>
        <w:pStyle w:val="BodyText"/>
      </w:pPr>
      <w:r>
        <w:t xml:space="preserve"> </w:t>
      </w:r>
      <w:r>
        <w:t xml:space="preserve">The Anti-Cyber Crime Law. (2007). Royal Decree No. M/17. Kingdom of Saudi Arabia.</w:t>
      </w:r>
      <w:r>
        <w:t xml:space="preserve"> </w:t>
      </w:r>
    </w:p>
    <w:p>
      <w:pPr>
        <w:pStyle w:val="BodyText"/>
      </w:pPr>
      <w:r>
        <w:t xml:space="preserve">As Riyadh is the hub of digital infrastructure in Saudi Arabia, judges in the capital frequently adjudicate cases involving cybercrime. This law grants judges the authority to interpret and apply penalties for digital offenses, ranging from hacking to defamation. This source is essential for understanding the modern challenges faced by Saudi judges, who must balance traditional legal principles with the complexities of digital evidence and international cyber norms. It highlights the expanding jurisdiction of the judge in the context of technological advancement.</w:t>
      </w:r>
    </w:p>
    <w:bookmarkEnd w:id="20"/>
    <w:bookmarkStart w:id="21" w:name="academic-and-analytical-sources"/>
    <w:p>
      <w:pPr>
        <w:pStyle w:val="Heading2"/>
      </w:pPr>
      <w:r>
        <w:t xml:space="preserve">Academic and Analytical Sources</w:t>
      </w:r>
    </w:p>
    <w:p>
      <w:pPr>
        <w:pStyle w:val="FirstParagraph"/>
      </w:pPr>
      <w:r>
        <w:t xml:space="preserve"> </w:t>
      </w:r>
      <w:r>
        <w:t xml:space="preserve">Al-Rasheed, M. (2010). A History of Saudi Arabia. Cambridge University Press.</w:t>
      </w:r>
      <w:r>
        <w:t xml:space="preserve"> </w:t>
      </w:r>
    </w:p>
    <w:p>
      <w:pPr>
        <w:pStyle w:val="BodyText"/>
      </w:pPr>
      <w:r>
        <w:t xml:space="preserve">Madawi Al-Rasheed provides a historical context for the development of the judiciary in Saudi Arabia. She discusses the tension between the traditional religious establishment and the modernizing state. For the judge in Riyadh, this historical perspective is vital as it explains the cultural and religious expectations placed upon them. The book illustrates how the role of the judge has evolved from a local religious scholar to a state-appointed official, reflecting the centralization of power in the capital.</w:t>
      </w:r>
    </w:p>
    <w:p>
      <w:pPr>
        <w:pStyle w:val="BodyText"/>
      </w:pPr>
      <w:r>
        <w:t xml:space="preserve"> </w:t>
      </w:r>
      <w:r>
        <w:t xml:space="preserve">Al-Saleh, M. (2018). The Judicial System in Saudi Arabia: Reform and Modernization. Journal of Arabian Studies, 8(2), 145-162.</w:t>
      </w:r>
      <w:r>
        <w:t xml:space="preserve"> </w:t>
      </w:r>
    </w:p>
    <w:p>
      <w:pPr>
        <w:pStyle w:val="BodyText"/>
      </w:pPr>
      <w:r>
        <w:t xml:space="preserve">This article analyzes the recent reforms aimed at improving the efficiency and transparency of the courts in Riyadh. It focuses on the establishment of specialized courts, such as commercial and labor courts, and the role of judges in these new forums. The author argues that these reforms are designed to attract foreign investment by providing a more predictable legal environment. This source is crucial for understanding the economic motivations behind the changing role of the judge in Saudi Arabia.</w:t>
      </w:r>
    </w:p>
    <w:p>
      <w:pPr>
        <w:pStyle w:val="BodyText"/>
      </w:pPr>
      <w:r>
        <w:t xml:space="preserve"> </w:t>
      </w:r>
      <w:r>
        <w:t xml:space="preserve">Al-Harbi, S. (2020). The Impact of Vision 2030 on the Saudi Judiciary. Saudi Law Review, 12(1), 45-67.</w:t>
      </w:r>
      <w:r>
        <w:t xml:space="preserve"> </w:t>
      </w:r>
    </w:p>
    <w:p>
      <w:pPr>
        <w:pStyle w:val="BodyText"/>
      </w:pPr>
      <w:r>
        <w:t xml:space="preserve">This paper examines the alignment of judicial reforms with the Kingdom's Vision 2030 goals. It highlights the increased emphasis on judicial independence and the professionalization of judges in Riyadh. The author discusses the implementation of electronic case management systems and the training programs designed to enhance the skills of judges. This source provides insight into the future trajectory of the judiciary and the expectations placed on judges to support the Kingdom's broader socio-economic objectives.</w:t>
      </w:r>
    </w:p>
    <w:p>
      <w:pPr>
        <w:pStyle w:val="BodyText"/>
      </w:pPr>
      <w:r>
        <w:t xml:space="preserve"> </w:t>
      </w:r>
      <w:r>
        <w:t xml:space="preserve">Al-Qahtani, A. (2019). The Role of the Judge in Interpreting Sharia Law in Modern Saudi Arabia. Islamic Law and Society, 26(3), 234-255.</w:t>
      </w:r>
      <w:r>
        <w:t xml:space="preserve"> </w:t>
      </w:r>
    </w:p>
    <w:p>
      <w:pPr>
        <w:pStyle w:val="BodyText"/>
      </w:pPr>
      <w:r>
        <w:t xml:space="preserve">This article explores the delicate balance judges in Riyadh must strike between adhering to traditional Islamic jurisprudence and addressing contemporary legal issues. It discusses the methods of interpretation used by judges and the influence of the Council of Senior Scholars. This source is essential for understanding the theological and legal constraints that guide judicial decision-making in Saudi Arabia, particularly in cases involving family law and criminal justice.</w:t>
      </w:r>
    </w:p>
    <w:p>
      <w:pPr>
        <w:pStyle w:val="BodyText"/>
      </w:pPr>
      <w:r>
        <w:t xml:space="preserve"> </w:t>
      </w:r>
      <w:r>
        <w:t xml:space="preserve">Al-Otaibi, F. (2021). Women Judges in Saudi Arabia: Progress and Challenges. Middle East Journal of Law and Governance, 14(2), 112-130.</w:t>
      </w:r>
      <w:r>
        <w:t xml:space="preserve"> </w:t>
      </w:r>
    </w:p>
    <w:p>
      <w:pPr>
        <w:pStyle w:val="BodyText"/>
      </w:pPr>
      <w:r>
        <w:t xml:space="preserve">This study focuses on the recent appointment of women as judges in Saudi Arabia, a significant development in the legal landscape of Riyadh. It examines the societal and institutional challenges faced by female judges and their contributions to the judiciary. This source is important for understanding the diversification of the judicial bench and the changing social norms in Saudi Arabia. It provides a nuanced view of the evolving role of the judge in a society undergoing rapid transformation.</w:t>
      </w:r>
    </w:p>
    <w:p>
      <w:pPr>
        <w:pStyle w:val="BodyText"/>
      </w:pPr>
      <w:r>
        <w:t xml:space="preserve"> </w:t>
      </w:r>
      <w:r>
        <w:t xml:space="preserve">Al-Mutairi, K. (2022). The Use of Technology in Saudi Courts: Enhancing Efficiency and Transparency. International Journal of Law and Information Technology, 30(1), 78-95.</w:t>
      </w:r>
      <w:r>
        <w:t xml:space="preserve"> </w:t>
      </w:r>
    </w:p>
    <w:p>
      <w:pPr>
        <w:pStyle w:val="BodyText"/>
      </w:pPr>
      <w:r>
        <w:t xml:space="preserve">This article discusses the implementation of digital tools in the courts of Riyadh, including online filing systems and virtual hearings. It analyzes the impact of these technologies on the work of judges and the overall efficiency of the judicial process. This source is relevant for understanding the modernization efforts in the Saudi judiciary and the new skills required of judges to navigate the digital landscape. It highlights the shift towards a more accessible and transparent legal 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Riyadh, Saudi Arabia</dc:title>
  <dc:creator/>
  <dc:language>en</dc:language>
  <cp:keywords/>
  <dcterms:created xsi:type="dcterms:W3CDTF">2026-08-07T02:15:36Z</dcterms:created>
  <dcterms:modified xsi:type="dcterms:W3CDTF">2026-08-07T02:15:36Z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