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572cd0f4f6546b26ea8ca0d2d7c10424660d65b"/>
    <w:p>
      <w:pPr>
        <w:pStyle w:val="Heading1"/>
      </w:pPr>
      <w:r>
        <w:t xml:space="preserve">Annotated Bibliography: The Role of the Judge in the United Arab Emirates (Dubai)</w:t>
      </w:r>
    </w:p>
    <w:p>
      <w:pPr>
        <w:pStyle w:val="FirstParagraph"/>
      </w:pPr>
      <w:r>
        <w:t xml:space="preserve">A Comprehensive Review of Legal Sources Regarding Judicial Authority, Ethics, and Procedure in Dubai</w:t>
      </w:r>
    </w:p>
    <w:bookmarkEnd w:id="20"/>
    <w:p>
      <w:pPr>
        <w:pStyle w:val="BodyText"/>
      </w:pPr>
      <w:r>
        <w:t xml:space="preserve">The following annotated bibliography provides a curated selection of legal texts, statutes, and academic analyses focusing on the role of the</w:t>
      </w:r>
      <w:r>
        <w:t xml:space="preserve"> </w:t>
      </w:r>
      <w:r>
        <w:rPr>
          <w:bCs/>
          <w:b/>
        </w:rPr>
        <w:t xml:space="preserve">Judge</w:t>
      </w:r>
      <w:r>
        <w:t xml:space="preserve"> </w:t>
      </w:r>
      <w:r>
        <w:t xml:space="preserve">within the jurisdiction of</w:t>
      </w:r>
      <w:r>
        <w:t xml:space="preserve"> </w:t>
      </w:r>
      <w:r>
        <w:rPr>
          <w:bCs/>
          <w:b/>
        </w:rPr>
        <w:t xml:space="preserve">Dubai</w:t>
      </w:r>
      <w:r>
        <w:t xml:space="preserve">,</w:t>
      </w:r>
      <w:r>
        <w:t xml:space="preserve"> </w:t>
      </w:r>
      <w:r>
        <w:rPr>
          <w:bCs/>
          <w:b/>
        </w:rPr>
        <w:t xml:space="preserve">United Arab Emirates</w:t>
      </w:r>
      <w:r>
        <w:t xml:space="preserve">. This document is designed to assist legal practitioners, scholars, and students in understanding the unique intersection of civil law, Islamic Sharia principles, and the specialized common law frameworks that define the judiciary in this region.</w:t>
      </w:r>
    </w:p>
    <w:bookmarkStart w:id="21" w:name="X37f6c891675323258828d11a5967425a50c0dcf"/>
    <w:p>
      <w:pPr>
        <w:pStyle w:val="Heading2"/>
      </w:pPr>
      <w:r>
        <w:t xml:space="preserve">Primary Legislation and Constitutional Frameworks</w:t>
      </w:r>
    </w:p>
    <w:p>
      <w:pPr>
        <w:pStyle w:val="FirstParagraph"/>
      </w:pPr>
      <w:r>
        <w:t xml:space="preserve">Federal Constitution of the United Arab Emirates. (1971). Federal Supreme Council.</w:t>
      </w:r>
    </w:p>
    <w:p>
      <w:pPr>
        <w:pStyle w:val="BodyText"/>
      </w:pPr>
      <w:r>
        <w:t xml:space="preserve">This foundational document establishes the supreme law of the land. For the</w:t>
      </w:r>
      <w:r>
        <w:t xml:space="preserve"> </w:t>
      </w:r>
      <w:r>
        <w:rPr>
          <w:bCs/>
          <w:b/>
        </w:rPr>
        <w:t xml:space="preserve">Judge</w:t>
      </w:r>
      <w:r>
        <w:t xml:space="preserve"> </w:t>
      </w:r>
      <w:r>
        <w:t xml:space="preserve">in</w:t>
      </w:r>
      <w:r>
        <w:t xml:space="preserve"> </w:t>
      </w:r>
      <w:r>
        <w:rPr>
          <w:bCs/>
          <w:b/>
        </w:rPr>
        <w:t xml:space="preserve">Dubai</w:t>
      </w:r>
      <w:r>
        <w:t xml:space="preserve">, the Constitution is critical as it guarantees the independence of the judiciary in Article 94. It outlines that judges are independent and subject only to the law. This source is essential for understanding the constitutional protections afforded to judicial officers in the</w:t>
      </w:r>
      <w:r>
        <w:t xml:space="preserve"> </w:t>
      </w:r>
      <w:r>
        <w:rPr>
          <w:bCs/>
          <w:b/>
        </w:rPr>
        <w:t xml:space="preserve">United Arab Emirates</w:t>
      </w:r>
      <w:r>
        <w:t xml:space="preserve">, ensuring that the judiciary operates free from executive interference, a cornerstone of the rule of law in the region.</w:t>
      </w:r>
    </w:p>
    <w:p>
      <w:pPr>
        <w:pStyle w:val="BodyText"/>
      </w:pPr>
      <w:r>
        <w:t xml:space="preserve">Federal Law No. 1 of 1973 Concerning the Organization of Courts. (1973). Official Gazette of the UAE.</w:t>
      </w:r>
    </w:p>
    <w:p>
      <w:pPr>
        <w:pStyle w:val="BodyText"/>
      </w:pPr>
      <w:r>
        <w:t xml:space="preserve">This statute provides the structural framework for the court system in the</w:t>
      </w:r>
      <w:r>
        <w:t xml:space="preserve"> </w:t>
      </w:r>
      <w:r>
        <w:rPr>
          <w:bCs/>
          <w:b/>
        </w:rPr>
        <w:t xml:space="preserve">United Arab Emirates</w:t>
      </w:r>
      <w:r>
        <w:t xml:space="preserve">, including the hierarchy of courts in</w:t>
      </w:r>
      <w:r>
        <w:t xml:space="preserve"> </w:t>
      </w:r>
      <w:r>
        <w:rPr>
          <w:bCs/>
          <w:b/>
        </w:rPr>
        <w:t xml:space="preserve">Dubai</w:t>
      </w:r>
      <w:r>
        <w:t xml:space="preserve">. It details the appointment, promotion, and disciplinary procedures for judges. It is a primary reference for understanding the administrative authority over a</w:t>
      </w:r>
      <w:r>
        <w:t xml:space="preserve"> </w:t>
      </w:r>
      <w:r>
        <w:rPr>
          <w:bCs/>
          <w:b/>
        </w:rPr>
        <w:t xml:space="preserve">Judge</w:t>
      </w:r>
      <w:r>
        <w:t xml:space="preserve">, specifically the role of the Supreme Judicial Council. It clarifies the jurisdictional boundaries between the Court of First Instance, the Court of Appeal, and the Court of Cassation, which are vital for any legal professional navigating the Dubai court system.</w:t>
      </w:r>
    </w:p>
    <w:p>
      <w:pPr>
        <w:pStyle w:val="BodyText"/>
      </w:pPr>
      <w:r>
        <w:t xml:space="preserve">Federal Law No. 1 of 2017 on the Judicial Authority. (2017). Official Gazette of the UAE.</w:t>
      </w:r>
    </w:p>
    <w:p>
      <w:pPr>
        <w:pStyle w:val="BodyText"/>
      </w:pPr>
      <w:r>
        <w:t xml:space="preserve">This relatively recent legislation modernized the judicial framework of the</w:t>
      </w:r>
      <w:r>
        <w:t xml:space="preserve"> </w:t>
      </w:r>
      <w:r>
        <w:rPr>
          <w:bCs/>
          <w:b/>
        </w:rPr>
        <w:t xml:space="preserve">United Arab Emirates</w:t>
      </w:r>
      <w:r>
        <w:t xml:space="preserve">. It reinforces the independence of the</w:t>
      </w:r>
      <w:r>
        <w:t xml:space="preserve"> </w:t>
      </w:r>
      <w:r>
        <w:rPr>
          <w:bCs/>
          <w:b/>
        </w:rPr>
        <w:t xml:space="preserve">Judge</w:t>
      </w:r>
      <w:r>
        <w:t xml:space="preserve"> </w:t>
      </w:r>
      <w:r>
        <w:t xml:space="preserve">and establishes clear ethical standards and codes of conduct. For practitioners in</w:t>
      </w:r>
      <w:r>
        <w:t xml:space="preserve"> </w:t>
      </w:r>
      <w:r>
        <w:rPr>
          <w:bCs/>
          <w:b/>
        </w:rPr>
        <w:t xml:space="preserve">Dubai</w:t>
      </w:r>
      <w:r>
        <w:t xml:space="preserve">, this law is indispensable as it outlines the specific duties of judicial officers, including the requirement to uphold justice, impartiality, and confidentiality. It also addresses the immunity of judges while performing their duties, a crucial aspect of judicial protection in the UAE legal landscape.</w:t>
      </w:r>
    </w:p>
    <w:bookmarkEnd w:id="21"/>
    <w:bookmarkStart w:id="22" w:name="procedural-laws-and-judicial-practice"/>
    <w:p>
      <w:pPr>
        <w:pStyle w:val="Heading2"/>
      </w:pPr>
      <w:r>
        <w:t xml:space="preserve">Procedural Laws and Judicial Practice</w:t>
      </w:r>
    </w:p>
    <w:p>
      <w:pPr>
        <w:pStyle w:val="FirstParagraph"/>
      </w:pPr>
      <w:r>
        <w:t xml:space="preserve">Federal Law No. 42 of 2022 on Civil Procedures. (2022). Official Gazette of the UAE.</w:t>
      </w:r>
    </w:p>
    <w:p>
      <w:pPr>
        <w:pStyle w:val="BodyText"/>
      </w:pPr>
      <w:r>
        <w:t xml:space="preserve">This comprehensive code governs civil litigation in the</w:t>
      </w:r>
      <w:r>
        <w:t xml:space="preserve"> </w:t>
      </w:r>
      <w:r>
        <w:rPr>
          <w:bCs/>
          <w:b/>
        </w:rPr>
        <w:t xml:space="preserve">United Arab Emirates</w:t>
      </w:r>
      <w:r>
        <w:t xml:space="preserve">. It defines the procedural powers and responsibilities of the</w:t>
      </w:r>
      <w:r>
        <w:t xml:space="preserve"> </w:t>
      </w:r>
      <w:r>
        <w:rPr>
          <w:bCs/>
          <w:b/>
        </w:rPr>
        <w:t xml:space="preserve">Judge</w:t>
      </w:r>
      <w:r>
        <w:t xml:space="preserve"> </w:t>
      </w:r>
      <w:r>
        <w:t xml:space="preserve">in</w:t>
      </w:r>
      <w:r>
        <w:t xml:space="preserve"> </w:t>
      </w:r>
      <w:r>
        <w:rPr>
          <w:bCs/>
          <w:b/>
        </w:rPr>
        <w:t xml:space="preserve">Dubai</w:t>
      </w:r>
      <w:r>
        <w:t xml:space="preserve"> </w:t>
      </w:r>
      <w:r>
        <w:t xml:space="preserve">civil courts. The text details how judges manage evidence, conduct hearings, and issue rulings. It is particularly relevant for understanding the shift towards more efficient case management and the use of technology in Dubai courts. This source is essential for analyzing how a judge exercises discretion in procedural matters and ensures due process in civil disputes.</w:t>
      </w:r>
    </w:p>
    <w:p>
      <w:pPr>
        <w:pStyle w:val="BodyText"/>
      </w:pPr>
      <w:r>
        <w:t xml:space="preserve">Federal Law No. 35 of 1992 on the Procedures of Criminal Courts. (1992). Official Gazette of the UAE.</w:t>
      </w:r>
    </w:p>
    <w:p>
      <w:pPr>
        <w:pStyle w:val="BodyText"/>
      </w:pPr>
      <w:r>
        <w:t xml:space="preserve">This law outlines the criminal procedure in the</w:t>
      </w:r>
      <w:r>
        <w:t xml:space="preserve"> </w:t>
      </w:r>
      <w:r>
        <w:rPr>
          <w:bCs/>
          <w:b/>
        </w:rPr>
        <w:t xml:space="preserve">United Arab Emirates</w:t>
      </w:r>
      <w:r>
        <w:t xml:space="preserve">. It is critical for understanding the role of the</w:t>
      </w:r>
      <w:r>
        <w:t xml:space="preserve"> </w:t>
      </w:r>
      <w:r>
        <w:rPr>
          <w:bCs/>
          <w:b/>
        </w:rPr>
        <w:t xml:space="preserve">Judge</w:t>
      </w:r>
      <w:r>
        <w:t xml:space="preserve"> </w:t>
      </w:r>
      <w:r>
        <w:t xml:space="preserve">in criminal trials in</w:t>
      </w:r>
      <w:r>
        <w:t xml:space="preserve"> </w:t>
      </w:r>
      <w:r>
        <w:rPr>
          <w:bCs/>
          <w:b/>
        </w:rPr>
        <w:t xml:space="preserve">Dubai</w:t>
      </w:r>
      <w:r>
        <w:t xml:space="preserve">, including the presumption of innocence, the rights of the accused, and the standards of proof required for conviction. The text provides insight into the investigative powers of the judiciary and the safeguards against wrongful conviction. It remains a key reference for criminal defense attorneys and prosecutors operating within the Dubai judicial system.</w:t>
      </w:r>
    </w:p>
    <w:bookmarkEnd w:id="22"/>
    <w:bookmarkStart w:id="23" w:name="X48e14298e53fe2172984afe7e7781f897b5f573"/>
    <w:p>
      <w:pPr>
        <w:pStyle w:val="Heading2"/>
      </w:pPr>
      <w:r>
        <w:t xml:space="preserve">Specialized Jurisdictions: The DIFC Courts</w:t>
      </w:r>
    </w:p>
    <w:p>
      <w:pPr>
        <w:pStyle w:val="FirstParagraph"/>
      </w:pPr>
      <w:r>
        <w:t xml:space="preserve">The Dubai International Financial Centre (DIFC) Courts Law No. 12 of 2004. (2004). DIFC Legislation.</w:t>
      </w:r>
    </w:p>
    <w:p>
      <w:pPr>
        <w:pStyle w:val="BodyText"/>
      </w:pPr>
      <w:r>
        <w:t xml:space="preserve">This legislation establishes the DIFC Courts, a unique common law jurisdiction within</w:t>
      </w:r>
      <w:r>
        <w:t xml:space="preserve"> </w:t>
      </w:r>
      <w:r>
        <w:rPr>
          <w:bCs/>
          <w:b/>
        </w:rPr>
        <w:t xml:space="preserve">Dubai</w:t>
      </w:r>
      <w:r>
        <w:t xml:space="preserve">. It is vital for understanding the role of the</w:t>
      </w:r>
      <w:r>
        <w:t xml:space="preserve"> </w:t>
      </w:r>
      <w:r>
        <w:rPr>
          <w:bCs/>
          <w:b/>
        </w:rPr>
        <w:t xml:space="preserve">Judge</w:t>
      </w:r>
      <w:r>
        <w:t xml:space="preserve"> </w:t>
      </w:r>
      <w:r>
        <w:t xml:space="preserve">in this specialized financial hub. Unlike the federal courts, DIFC judges are appointed based on international common law standards. This source explains the jurisdictional scope, the appointment process, and the independence of judges within the DIFC. It highlights the dual legal system in Dubai, where a judge may operate under civil law principles in federal courts and common law principles in the DIFC.</w:t>
      </w:r>
    </w:p>
    <w:p>
      <w:pPr>
        <w:pStyle w:val="BodyText"/>
      </w:pPr>
      <w:r>
        <w:t xml:space="preserve">The DIFC Courts Rules of Court. (2023). DIFC Courts.</w:t>
      </w:r>
    </w:p>
    <w:p>
      <w:pPr>
        <w:pStyle w:val="BodyText"/>
      </w:pPr>
      <w:r>
        <w:t xml:space="preserve">These rules provide the procedural framework for litigation in the DIFC Courts. They detail the conduct expected of judges and parties during proceedings. For legal professionals in</w:t>
      </w:r>
      <w:r>
        <w:t xml:space="preserve"> </w:t>
      </w:r>
      <w:r>
        <w:rPr>
          <w:bCs/>
          <w:b/>
        </w:rPr>
        <w:t xml:space="preserve">Dubai</w:t>
      </w:r>
      <w:r>
        <w:t xml:space="preserve">, this document is essential for understanding the practical application of common law procedures. It outlines the judge's role in case management, alternative dispute resolution, and the enforcement of judgments. It serves as a practical guide for navigating the distinct judicial environment of the DIFC.</w:t>
      </w:r>
    </w:p>
    <w:bookmarkEnd w:id="23"/>
    <w:bookmarkStart w:id="24" w:name="academic-and-analytical-perspectives"/>
    <w:p>
      <w:pPr>
        <w:pStyle w:val="Heading2"/>
      </w:pPr>
      <w:r>
        <w:t xml:space="preserve">Academic and Analytical Perspectives</w:t>
      </w:r>
    </w:p>
    <w:p>
      <w:pPr>
        <w:pStyle w:val="FirstParagraph"/>
      </w:pPr>
      <w:r>
        <w:t xml:space="preserve">Al-Rasheed, M. (2019). "Judicial Independence and the Rule of Law in the UAE." Journal of Middle East Law and Governance.</w:t>
      </w:r>
    </w:p>
    <w:p>
      <w:pPr>
        <w:pStyle w:val="BodyText"/>
      </w:pPr>
      <w:r>
        <w:t xml:space="preserve">This academic article provides a critical analysis of the evolution of judicial independence in the</w:t>
      </w:r>
      <w:r>
        <w:t xml:space="preserve"> </w:t>
      </w:r>
      <w:r>
        <w:rPr>
          <w:bCs/>
          <w:b/>
        </w:rPr>
        <w:t xml:space="preserve">United Arab Emirates</w:t>
      </w:r>
      <w:r>
        <w:t xml:space="preserve">. It examines the practical realities of the</w:t>
      </w:r>
      <w:r>
        <w:t xml:space="preserve"> </w:t>
      </w:r>
      <w:r>
        <w:rPr>
          <w:bCs/>
          <w:b/>
        </w:rPr>
        <w:t xml:space="preserve">Judge</w:t>
      </w:r>
      <w:r>
        <w:t xml:space="preserve">'s role in</w:t>
      </w:r>
      <w:r>
        <w:t xml:space="preserve"> </w:t>
      </w:r>
      <w:r>
        <w:rPr>
          <w:bCs/>
          <w:b/>
        </w:rPr>
        <w:t xml:space="preserve">Dubai</w:t>
      </w:r>
      <w:r>
        <w:t xml:space="preserve">, discussing the balance between state authority and judicial autonomy. The author explores recent reforms aimed at enhancing transparency and efficiency in the courts. This source is valuable for scholars seeking a deeper understanding of the socio-political context in which Dubai judges operate and the ongoing efforts to align the judiciary with international best practices.</w:t>
      </w:r>
    </w:p>
    <w:p>
      <w:pPr>
        <w:pStyle w:val="BodyText"/>
      </w:pPr>
      <w:r>
        <w:t xml:space="preserve">Khalaf, A. (2021). "Sharia and Civil Law in the UAE Judiciary: A Comparative Study." International Journal of Law and Management.</w:t>
      </w:r>
    </w:p>
    <w:p>
      <w:pPr>
        <w:pStyle w:val="BodyText"/>
      </w:pPr>
      <w:r>
        <w:t xml:space="preserve">This study explores the integration of Islamic Sharia principles with civil law in the</w:t>
      </w:r>
      <w:r>
        <w:t xml:space="preserve"> </w:t>
      </w:r>
      <w:r>
        <w:rPr>
          <w:bCs/>
          <w:b/>
        </w:rPr>
        <w:t xml:space="preserve">United Arab Emirates</w:t>
      </w:r>
      <w:r>
        <w:t xml:space="preserve">. It is particularly relevant for understanding the role of the</w:t>
      </w:r>
      <w:r>
        <w:t xml:space="preserve"> </w:t>
      </w:r>
      <w:r>
        <w:rPr>
          <w:bCs/>
          <w:b/>
        </w:rPr>
        <w:t xml:space="preserve">Judge</w:t>
      </w:r>
      <w:r>
        <w:t xml:space="preserve"> </w:t>
      </w:r>
      <w:r>
        <w:t xml:space="preserve">in personal status and family law cases in</w:t>
      </w:r>
      <w:r>
        <w:t xml:space="preserve"> </w:t>
      </w:r>
      <w:r>
        <w:rPr>
          <w:bCs/>
          <w:b/>
        </w:rPr>
        <w:t xml:space="preserve">Dubai</w:t>
      </w:r>
      <w:r>
        <w:t xml:space="preserve">. The article analyzes how judges interpret Sharia law in modern contexts and the challenges they face in reconciling traditional religious principles with contemporary legal needs. It provides essential insights for legal practitioners dealing with family law matters in the UAE.</w:t>
      </w:r>
    </w:p>
    <w:bookmarkEnd w:id="24"/>
    <w:p>
      <w:pPr>
        <w:pStyle w:val="BodyText"/>
      </w:pPr>
      <w:r>
        <w:t xml:space="preserve">This annotated bibliography is for informational purposes only and does not constitute legal advice. Laws and regulations in the United Arab Emirates are subject to change. Always consult with a qualified legal professional for specific legal matters in Dubai.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the United Arab Emirates (Dubai)</dc:title>
  <dc:creator/>
  <dc:language>en</dc:language>
  <cp:keywords/>
  <dcterms:created xsi:type="dcterms:W3CDTF">2026-08-07T00:37:02Z</dcterms:created>
  <dcterms:modified xsi:type="dcterms:W3CDTF">2026-08-07T00:37:02Z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