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Dhaka,</w:t>
      </w:r>
      <w:r>
        <w:t xml:space="preserve"> </w:t>
      </w:r>
      <w:r>
        <w:t xml:space="preserve">Bangladesh</w:t>
      </w:r>
    </w:p>
    <w:bookmarkStart w:id="33" w:name="X928ebf04c1a5a3096e045f6c455c1aea91ed3d7"/>
    <w:p>
      <w:pPr>
        <w:pStyle w:val="Heading1"/>
      </w:pPr>
      <w:r>
        <w:t xml:space="preserve">Annotated Bibliography: The Role of the Lawyer in the Legal Landscape of Dhaka, Bangladesh</w:t>
      </w:r>
    </w:p>
    <w:p>
      <w:pPr>
        <w:pStyle w:val="FirstParagraph"/>
      </w:pPr>
      <w:r>
        <w:t xml:space="preserve">The legal ecosystem in Dhaka, the capital of Bangladesh, is a complex intersection of colonial heritage, modern statutory law, and evolving socio-economic demands. For any practitioner or scholar seeking to understand the role of the</w:t>
      </w:r>
      <w:r>
        <w:t xml:space="preserve"> </w:t>
      </w:r>
      <w:r>
        <w:rPr>
          <w:bCs/>
          <w:b/>
        </w:rPr>
        <w:t xml:space="preserve">lawyer</w:t>
      </w:r>
      <w:r>
        <w:t xml:space="preserve"> </w:t>
      </w:r>
      <w:r>
        <w:t xml:space="preserve">in this specific jurisdiction, it is essential to examine the regulatory frameworks, ethical obligations, and practical challenges inherent to the</w:t>
      </w:r>
      <w:r>
        <w:t xml:space="preserve"> </w:t>
      </w:r>
      <w:r>
        <w:rPr>
          <w:bCs/>
          <w:b/>
        </w:rPr>
        <w:t xml:space="preserve">Bangladesh Dhaka</w:t>
      </w:r>
      <w:r>
        <w:t xml:space="preserve"> </w:t>
      </w:r>
      <w:r>
        <w:t xml:space="preserve">legal environment. This annotated bibliography compiles key resources that illuminate the professional landscape for legal practitioners operating within the Dhaka High Court and the Supreme Court of Bangladesh. These sources provide critical insights into the procedural rules, professional conduct standards, and the broader judicial reforms that shape the daily practice of law in the nation's capital.</w:t>
      </w:r>
    </w:p>
    <w:bookmarkStart w:id="22" w:name="X207a770c27cec752e70c8c680fee671942e0059"/>
    <w:p>
      <w:pPr>
        <w:pStyle w:val="Heading2"/>
      </w:pPr>
      <w:r>
        <w:t xml:space="preserve">Regulatory Frameworks and Professional Conduct</w:t>
      </w:r>
    </w:p>
    <w:bookmarkStart w:id="20" w:name="the-bangladesh-bar-council-act-1972"/>
    <w:p>
      <w:pPr>
        <w:pStyle w:val="Heading3"/>
      </w:pPr>
      <w:r>
        <w:t xml:space="preserve">1. The Bangladesh Bar Council Act, 1972</w:t>
      </w:r>
    </w:p>
    <w:p>
      <w:pPr>
        <w:pStyle w:val="FirstParagraph"/>
      </w:pPr>
      <w:r>
        <w:t xml:space="preserve">Government of the People's Republic of Bangladesh. (1972).</w:t>
      </w:r>
      <w:r>
        <w:t xml:space="preserve"> </w:t>
      </w:r>
      <w:r>
        <w:rPr>
          <w:iCs/>
          <w:i/>
        </w:rPr>
        <w:t xml:space="preserve">The Bangladesh Bar Council Act, 1972</w:t>
      </w:r>
      <w:r>
        <w:t xml:space="preserve">. Dhaka: Bangladesh Government Press.</w:t>
      </w:r>
    </w:p>
    <w:p>
      <w:pPr>
        <w:pStyle w:val="BodyText"/>
      </w:pPr>
      <w:r>
        <w:t xml:space="preserve">This primary legislation serves as the foundational statute governing the legal profession in Bangladesh. For a</w:t>
      </w:r>
      <w:r>
        <w:t xml:space="preserve"> </w:t>
      </w:r>
      <w:r>
        <w:rPr>
          <w:bCs/>
          <w:b/>
        </w:rPr>
        <w:t xml:space="preserve">lawyer</w:t>
      </w:r>
      <w:r>
        <w:t xml:space="preserve"> </w:t>
      </w:r>
      <w:r>
        <w:t xml:space="preserve">practicing in</w:t>
      </w:r>
      <w:r>
        <w:t xml:space="preserve"> </w:t>
      </w:r>
      <w:r>
        <w:rPr>
          <w:bCs/>
          <w:b/>
        </w:rPr>
        <w:t xml:space="preserve">Bangladesh Dhaka</w:t>
      </w:r>
      <w:r>
        <w:t xml:space="preserve">, this Act is indispensable as it establishes the Bangladesh Bar Council, the statutory body responsible for regulating the conduct of legal practitioners. The Act outlines the criteria for enrollment, the maintenance of the roll of advocates, and the disciplinary mechanisms available to address professional misconduct. Understanding this Act is crucial for any legal professional in Dhaka, as it defines the boundaries of their practice and their accountability to the state. It provides the legal basis for the Bar Council's authority to enforce ethical standards, ensuring that the administration of justice in the capital remains underpinned by a regulated professional body.</w:t>
      </w:r>
    </w:p>
    <w:bookmarkEnd w:id="20"/>
    <w:bookmarkStart w:id="21" w:name="X465c2cc894f63104bf8e1273c0616309430c954"/>
    <w:p>
      <w:pPr>
        <w:pStyle w:val="Heading3"/>
      </w:pPr>
      <w:r>
        <w:t xml:space="preserve">2. The Legal Practitioners (Amendment) Act, 2002</w:t>
      </w:r>
    </w:p>
    <w:p>
      <w:pPr>
        <w:pStyle w:val="FirstParagraph"/>
      </w:pPr>
      <w:r>
        <w:t xml:space="preserve">Parliament of Bangladesh. (2002).</w:t>
      </w:r>
      <w:r>
        <w:t xml:space="preserve"> </w:t>
      </w:r>
      <w:r>
        <w:rPr>
          <w:iCs/>
          <w:i/>
        </w:rPr>
        <w:t xml:space="preserve">The Legal Practitioners (Amendment) Act, 2002</w:t>
      </w:r>
      <w:r>
        <w:t xml:space="preserve">. Dhaka: Bangladesh Government Press.</w:t>
      </w:r>
    </w:p>
    <w:p>
      <w:pPr>
        <w:pStyle w:val="BodyText"/>
      </w:pPr>
      <w:r>
        <w:t xml:space="preserve">This amendment significantly altered the structure of the legal profession in Bangladesh by bifurcating the roles of advocates into "Advocates" and "Senior Advocates." For a</w:t>
      </w:r>
      <w:r>
        <w:t xml:space="preserve"> </w:t>
      </w:r>
      <w:r>
        <w:rPr>
          <w:bCs/>
          <w:b/>
        </w:rPr>
        <w:t xml:space="preserve">lawyer</w:t>
      </w:r>
      <w:r>
        <w:t xml:space="preserve"> </w:t>
      </w:r>
      <w:r>
        <w:t xml:space="preserve">in</w:t>
      </w:r>
      <w:r>
        <w:t xml:space="preserve"> </w:t>
      </w:r>
      <w:r>
        <w:rPr>
          <w:bCs/>
          <w:b/>
        </w:rPr>
        <w:t xml:space="preserve">Bangladesh Dhaka</w:t>
      </w:r>
      <w:r>
        <w:t xml:space="preserve">, this distinction is vital for career progression and professional identity. The Act sets rigorous criteria for elevation to the rank of Senior Advocate, emphasizing integrity, competence, and contribution to the legal field. In the competitive environment of Dhaka's courts, this legislation influences how legal services are marketed and perceived. It also reinforces the ethical obligations of senior practitioners to mentor junior lawyers, thereby shaping the mentorship culture within the Dhaka Bar Association.</w:t>
      </w:r>
    </w:p>
    <w:bookmarkEnd w:id="21"/>
    <w:bookmarkEnd w:id="22"/>
    <w:bookmarkStart w:id="25" w:name="Xe10930cbbfd54705938595f244478e065fcfc83"/>
    <w:p>
      <w:pPr>
        <w:pStyle w:val="Heading2"/>
      </w:pPr>
      <w:r>
        <w:t xml:space="preserve">Procedural Law and Court Practice in Dhaka</w:t>
      </w:r>
    </w:p>
    <w:bookmarkStart w:id="23" w:name="X8f91503771782fbc42171f47cec3ad15177d694"/>
    <w:p>
      <w:pPr>
        <w:pStyle w:val="Heading3"/>
      </w:pPr>
      <w:r>
        <w:t xml:space="preserve">3. The Code of Civil Procedure, 1908 (As Amended)</w:t>
      </w:r>
    </w:p>
    <w:p>
      <w:pPr>
        <w:pStyle w:val="FirstParagraph"/>
      </w:pPr>
      <w:r>
        <w:t xml:space="preserve">Government of India (adopted by Bangladesh). (1908).</w:t>
      </w:r>
      <w:r>
        <w:t xml:space="preserve"> </w:t>
      </w:r>
      <w:r>
        <w:rPr>
          <w:iCs/>
          <w:i/>
        </w:rPr>
        <w:t xml:space="preserve">The Code of Civil Procedure, 1908</w:t>
      </w:r>
      <w:r>
        <w:t xml:space="preserve">. Dhaka: Bangladesh Law Publisher.</w:t>
      </w:r>
    </w:p>
    <w:p>
      <w:pPr>
        <w:pStyle w:val="BodyText"/>
      </w:pPr>
      <w:r>
        <w:t xml:space="preserve">Although originating from the colonial era, the Code of Civil Procedure (CPC) remains the procedural backbone for civil litigation in</w:t>
      </w:r>
      <w:r>
        <w:t xml:space="preserve"> </w:t>
      </w:r>
      <w:r>
        <w:rPr>
          <w:bCs/>
          <w:b/>
        </w:rPr>
        <w:t xml:space="preserve">Bangladesh Dhaka</w:t>
      </w:r>
      <w:r>
        <w:t xml:space="preserve">. For a</w:t>
      </w:r>
      <w:r>
        <w:t xml:space="preserve"> </w:t>
      </w:r>
      <w:r>
        <w:rPr>
          <w:bCs/>
          <w:b/>
        </w:rPr>
        <w:t xml:space="preserve">lawyer</w:t>
      </w:r>
      <w:r>
        <w:t xml:space="preserve"> </w:t>
      </w:r>
      <w:r>
        <w:t xml:space="preserve">appearing before the Dhaka District Courts or the High Court Division, mastery of the CPC is non-negotiable. This text details the processes for filing suits, framing issues, examination of witnesses, and execution of decrees. In the context of Dhaka, where civil litigation often involves complex land disputes and commercial matters, the CPC provides the roadmap for legal strategy. The annotations and amendments specific to Bangladesh are particularly relevant, as they reflect local judicial interpretations and procedural adjustments made to suit the unique demands of the Dhaka legal system.</w:t>
      </w:r>
    </w:p>
    <w:bookmarkEnd w:id="23"/>
    <w:bookmarkStart w:id="24" w:name="Xea12e6be13af30dbcb4afb0fd53bff3f5114955"/>
    <w:p>
      <w:pPr>
        <w:pStyle w:val="Heading3"/>
      </w:pPr>
      <w:r>
        <w:t xml:space="preserve">4. The Code of Criminal Procedure, 1898 (As Amended)</w:t>
      </w:r>
    </w:p>
    <w:p>
      <w:pPr>
        <w:pStyle w:val="FirstParagraph"/>
      </w:pPr>
      <w:r>
        <w:t xml:space="preserve">Government of India (adopted by Bangladesh). (1898).</w:t>
      </w:r>
      <w:r>
        <w:t xml:space="preserve"> </w:t>
      </w:r>
      <w:r>
        <w:rPr>
          <w:iCs/>
          <w:i/>
        </w:rPr>
        <w:t xml:space="preserve">The Code of Criminal Procedure, 1898</w:t>
      </w:r>
      <w:r>
        <w:t xml:space="preserve">. Dhaka: Bangladesh Law Publisher.</w:t>
      </w:r>
    </w:p>
    <w:p>
      <w:pPr>
        <w:pStyle w:val="BodyText"/>
      </w:pPr>
      <w:r>
        <w:t xml:space="preserve">Criminal law practice in</w:t>
      </w:r>
      <w:r>
        <w:t xml:space="preserve"> </w:t>
      </w:r>
      <w:r>
        <w:rPr>
          <w:bCs/>
          <w:b/>
        </w:rPr>
        <w:t xml:space="preserve">Bangladesh Dhaka</w:t>
      </w:r>
      <w:r>
        <w:t xml:space="preserve"> </w:t>
      </w:r>
      <w:r>
        <w:t xml:space="preserve">is governed by this comprehensive code, which outlines the procedures for investigation, trial, and appeal in criminal cases. For a</w:t>
      </w:r>
      <w:r>
        <w:t xml:space="preserve"> </w:t>
      </w:r>
      <w:r>
        <w:rPr>
          <w:bCs/>
          <w:b/>
        </w:rPr>
        <w:t xml:space="preserve">lawyer</w:t>
      </w:r>
      <w:r>
        <w:t xml:space="preserve"> </w:t>
      </w:r>
      <w:r>
        <w:t xml:space="preserve">specializing in criminal defense or prosecution in Dhaka, this text is essential for navigating the intricate processes of bail applications, charge framing, and evidence presentation. Given the high volume of criminal cases in Dhaka's metropolitan courts, understanding the procedural nuances of this code is critical for ensuring fair trials and protecting the rights of the accused. The code also interacts with substantive criminal laws like the Penal Code, making it a cornerstone of legal practice in the capital.</w:t>
      </w:r>
    </w:p>
    <w:bookmarkEnd w:id="24"/>
    <w:bookmarkEnd w:id="25"/>
    <w:bookmarkStart w:id="27" w:name="X908675a36d7566ebc174e1a5b7e6298ebe8df0b"/>
    <w:p>
      <w:pPr>
        <w:pStyle w:val="Heading2"/>
      </w:pPr>
      <w:r>
        <w:t xml:space="preserve">Legal Ethics and Professional Responsibility</w:t>
      </w:r>
    </w:p>
    <w:bookmarkStart w:id="26" w:name="Xadbe7aa589ffb415b0f636bcc0001b91c516873"/>
    <w:p>
      <w:pPr>
        <w:pStyle w:val="Heading3"/>
      </w:pPr>
      <w:r>
        <w:t xml:space="preserve">5. Rules of Professional Conduct and Etiquette of the Bangladesh Bar Council</w:t>
      </w:r>
    </w:p>
    <w:p>
      <w:pPr>
        <w:pStyle w:val="FirstParagraph"/>
      </w:pPr>
      <w:r>
        <w:t xml:space="preserve">Bangladesh Bar Council. (2015).</w:t>
      </w:r>
      <w:r>
        <w:t xml:space="preserve"> </w:t>
      </w:r>
      <w:r>
        <w:rPr>
          <w:iCs/>
          <w:i/>
        </w:rPr>
        <w:t xml:space="preserve">Rules of Professional Conduct and Etiquette</w:t>
      </w:r>
      <w:r>
        <w:t xml:space="preserve">. Dhaka: Bangladesh Bar Council.</w:t>
      </w:r>
    </w:p>
    <w:p>
      <w:pPr>
        <w:pStyle w:val="BodyText"/>
      </w:pPr>
      <w:r>
        <w:t xml:space="preserve">This document codifies the ethical standards expected of every</w:t>
      </w:r>
      <w:r>
        <w:t xml:space="preserve"> </w:t>
      </w:r>
      <w:r>
        <w:rPr>
          <w:bCs/>
          <w:b/>
        </w:rPr>
        <w:t xml:space="preserve">lawyer</w:t>
      </w:r>
      <w:r>
        <w:t xml:space="preserve"> </w:t>
      </w:r>
      <w:r>
        <w:t xml:space="preserve">in Bangladesh, with direct applicability to practitioners in</w:t>
      </w:r>
      <w:r>
        <w:t xml:space="preserve"> </w:t>
      </w:r>
      <w:r>
        <w:rPr>
          <w:bCs/>
          <w:b/>
        </w:rPr>
        <w:t xml:space="preserve">Bangladesh Dhaka</w:t>
      </w:r>
      <w:r>
        <w:t xml:space="preserve">. It addresses issues such as client confidentiality, conflict of interest, fees, and conduct in court. In the bustling legal environment of Dhaka, where professional interactions are frequent and competitive, these rules provide a moral compass for legal practitioners. The document emphasizes the duty of a lawyer to the court and the client, reinforcing the idea that the legal profession is a noble calling rather than merely a business. Adherence to these rules is monitored by the Bar Council, and violations can lead to disciplinary action, making this text a vital reference for maintaining professional integrity.</w:t>
      </w:r>
    </w:p>
    <w:bookmarkEnd w:id="26"/>
    <w:bookmarkEnd w:id="27"/>
    <w:bookmarkStart w:id="29" w:name="legal-education-and-capacity-building"/>
    <w:p>
      <w:pPr>
        <w:pStyle w:val="Heading2"/>
      </w:pPr>
      <w:r>
        <w:t xml:space="preserve">Legal Education and Capacity Building</w:t>
      </w:r>
    </w:p>
    <w:bookmarkStart w:id="28" w:name="the-legal-education-amendment-act-2013"/>
    <w:p>
      <w:pPr>
        <w:pStyle w:val="Heading3"/>
      </w:pPr>
      <w:r>
        <w:t xml:space="preserve">6. The Legal Education (Amendment) Act, 2013</w:t>
      </w:r>
    </w:p>
    <w:p>
      <w:pPr>
        <w:pStyle w:val="FirstParagraph"/>
      </w:pPr>
      <w:r>
        <w:t xml:space="preserve">Parliament of Bangladesh. (2013).</w:t>
      </w:r>
      <w:r>
        <w:t xml:space="preserve"> </w:t>
      </w:r>
      <w:r>
        <w:rPr>
          <w:iCs/>
          <w:i/>
        </w:rPr>
        <w:t xml:space="preserve">The Legal Education (Amendment) Act, 2013</w:t>
      </w:r>
      <w:r>
        <w:t xml:space="preserve">. Dhaka: Bangladesh Government Press.</w:t>
      </w:r>
    </w:p>
    <w:p>
      <w:pPr>
        <w:pStyle w:val="BodyText"/>
      </w:pPr>
      <w:r>
        <w:t xml:space="preserve">This Act revolutionized legal education in Bangladesh by mandating a five-year LL.B. program and establishing the Bangladesh Judicial Service Commission. For a</w:t>
      </w:r>
      <w:r>
        <w:t xml:space="preserve"> </w:t>
      </w:r>
      <w:r>
        <w:rPr>
          <w:bCs/>
          <w:b/>
        </w:rPr>
        <w:t xml:space="preserve">lawyer</w:t>
      </w:r>
      <w:r>
        <w:t xml:space="preserve"> </w:t>
      </w:r>
      <w:r>
        <w:t xml:space="preserve">in</w:t>
      </w:r>
      <w:r>
        <w:t xml:space="preserve"> </w:t>
      </w:r>
      <w:r>
        <w:rPr>
          <w:bCs/>
          <w:b/>
        </w:rPr>
        <w:t xml:space="preserve">Bangladesh Dhaka</w:t>
      </w:r>
      <w:r>
        <w:t xml:space="preserve">, this legislation impacts the quality of legal training and the pipeline of new practitioners entering the profession. It ensures that legal education is more rigorous and practical, preparing students for the realities of court practice in Dhaka. The Act also emphasizes continuous legal education, encouraging experienced lawyers to stay updated with legal developments. This is particularly important in Dhaka, where legal issues are increasingly complex and require specialized knowledge.</w:t>
      </w:r>
    </w:p>
    <w:bookmarkEnd w:id="28"/>
    <w:bookmarkEnd w:id="29"/>
    <w:bookmarkStart w:id="32" w:name="judicial-reforms-and-access-to-justice"/>
    <w:p>
      <w:pPr>
        <w:pStyle w:val="Heading2"/>
      </w:pPr>
      <w:r>
        <w:t xml:space="preserve">Judicial Reforms and Access to Justice</w:t>
      </w:r>
    </w:p>
    <w:bookmarkStart w:id="30" w:name="X9d52b1b056168ea58cc18d6cf598c8f2026e2a0"/>
    <w:p>
      <w:pPr>
        <w:pStyle w:val="Heading3"/>
      </w:pPr>
      <w:r>
        <w:t xml:space="preserve">7. Report of the High Level Committee on Judicial Reforms</w:t>
      </w:r>
    </w:p>
    <w:p>
      <w:pPr>
        <w:pStyle w:val="FirstParagraph"/>
      </w:pPr>
      <w:r>
        <w:t xml:space="preserve">Government of Bangladesh. (2018).</w:t>
      </w:r>
      <w:r>
        <w:t xml:space="preserve"> </w:t>
      </w:r>
      <w:r>
        <w:rPr>
          <w:iCs/>
          <w:i/>
        </w:rPr>
        <w:t xml:space="preserve">Report of the High Level Committee on Judicial Reforms</w:t>
      </w:r>
      <w:r>
        <w:t xml:space="preserve">. Dhaka: Ministry of Law, Justice and Parliamentary Affairs.</w:t>
      </w:r>
    </w:p>
    <w:p>
      <w:pPr>
        <w:pStyle w:val="BodyText"/>
      </w:pPr>
      <w:r>
        <w:t xml:space="preserve">This report provides a comprehensive analysis of the challenges facing the judiciary in Bangladesh, with specific recommendations for improving efficiency and access to justice. For a</w:t>
      </w:r>
      <w:r>
        <w:t xml:space="preserve"> </w:t>
      </w:r>
      <w:r>
        <w:rPr>
          <w:bCs/>
          <w:b/>
        </w:rPr>
        <w:t xml:space="preserve">lawyer</w:t>
      </w:r>
      <w:r>
        <w:t xml:space="preserve"> </w:t>
      </w:r>
      <w:r>
        <w:t xml:space="preserve">practicing in</w:t>
      </w:r>
      <w:r>
        <w:t xml:space="preserve"> </w:t>
      </w:r>
      <w:r>
        <w:rPr>
          <w:bCs/>
          <w:b/>
        </w:rPr>
        <w:t xml:space="preserve">Bangladesh Dhaka</w:t>
      </w:r>
      <w:r>
        <w:t xml:space="preserve">, this document offers valuable insights into ongoing reforms aimed at reducing case backlogs, modernizing court procedures, and enhancing transparency. The report highlights the need for better infrastructure, digitalization of court records, and improved training for judicial officers and lawyers. Understanding these reforms is crucial for legal practitioners in Dhaka, as they will shape the future of legal practice and the administration of justice in the capital.</w:t>
      </w:r>
    </w:p>
    <w:bookmarkEnd w:id="30"/>
    <w:bookmarkStart w:id="31" w:name="X4178289cf13e1d6d96d78d101660cbaed72c183"/>
    <w:p>
      <w:pPr>
        <w:pStyle w:val="Heading3"/>
      </w:pPr>
      <w:r>
        <w:t xml:space="preserve">8. The Dhaka Bar Association: History and Role</w:t>
      </w:r>
    </w:p>
    <w:p>
      <w:pPr>
        <w:pStyle w:val="FirstParagraph"/>
      </w:pPr>
      <w:r>
        <w:t xml:space="preserve">Dhaka Bar Association. (2020).</w:t>
      </w:r>
      <w:r>
        <w:t xml:space="preserve"> </w:t>
      </w:r>
      <w:r>
        <w:rPr>
          <w:iCs/>
          <w:i/>
        </w:rPr>
        <w:t xml:space="preserve">The Dhaka Bar Association: History and Role</w:t>
      </w:r>
      <w:r>
        <w:t xml:space="preserve">. Dhaka: Dhaka Bar Association.</w:t>
      </w:r>
    </w:p>
    <w:p>
      <w:pPr>
        <w:pStyle w:val="BodyText"/>
      </w:pPr>
      <w:r>
        <w:t xml:space="preserve">This publication provides a detailed account of the Dhaka Bar Association, the premier professional body for lawyers in the capital. For a</w:t>
      </w:r>
      <w:r>
        <w:t xml:space="preserve"> </w:t>
      </w:r>
      <w:r>
        <w:rPr>
          <w:bCs/>
          <w:b/>
        </w:rPr>
        <w:t xml:space="preserve">lawyer</w:t>
      </w:r>
      <w:r>
        <w:t xml:space="preserve"> </w:t>
      </w:r>
      <w:r>
        <w:t xml:space="preserve">in</w:t>
      </w:r>
      <w:r>
        <w:t xml:space="preserve"> </w:t>
      </w:r>
      <w:r>
        <w:rPr>
          <w:bCs/>
          <w:b/>
        </w:rPr>
        <w:t xml:space="preserve">Bangladesh Dhaka</w:t>
      </w:r>
      <w:r>
        <w:t xml:space="preserve">, understanding the history and role of the Bar Association is essential for professional networking and advocacy. The document highlights the Bar's efforts in promoting legal awareness, protecting the rights of lawyers, and contributing to judicial reforms. It also outlines the various committees and initiatives undertaken by the Bar to support its members and the legal community. This text serves as a valuable resource for lawyers seeking to engage with the professional community and contribute to the development of the legal profession in Dhaka.</w:t>
      </w:r>
    </w:p>
    <w:p>
      <w:pPr>
        <w:pStyle w:val="BodyText"/>
      </w:pPr>
      <w:r>
        <w:t xml:space="preserve">This annotated bibliography is intended for informational purposes and reflects the legal landscape as of the latest available data. Legal practitioners in Dhaka, Bangladesh, should consult official sources and legal experts for the most current and applicable legal advice.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Dhaka, Bangladesh</dc:title>
  <dc:creator/>
  <dc:language>en</dc:language>
  <cp:keywords/>
  <dcterms:created xsi:type="dcterms:W3CDTF">2026-08-07T14:13:56Z</dcterms:created>
  <dcterms:modified xsi:type="dcterms:W3CDTF">2026-08-07T14:13:56Z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