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the</w:t>
      </w:r>
      <w:r>
        <w:t xml:space="preserve"> </w:t>
      </w:r>
      <w:r>
        <w:t xml:space="preserve">Lawyer</w:t>
      </w:r>
      <w:r>
        <w:t xml:space="preserve"> </w:t>
      </w:r>
      <w:r>
        <w:t xml:space="preserve">in</w:t>
      </w:r>
      <w:r>
        <w:t xml:space="preserve"> </w:t>
      </w:r>
      <w:r>
        <w:t xml:space="preserve">Bogotá,</w:t>
      </w:r>
      <w:r>
        <w:t xml:space="preserve"> </w:t>
      </w:r>
      <w:r>
        <w:t xml:space="preserve">Colombia</w:t>
      </w:r>
    </w:p>
    <w:bookmarkStart w:id="20" w:name="X30fa9e9cf49470ba2e0d3e261ba123572243f63"/>
    <w:p>
      <w:pPr>
        <w:pStyle w:val="Heading1"/>
      </w:pPr>
      <w:r>
        <w:t xml:space="preserve">Annotated Bibliography: The Role of the Lawyer in Bogotá, Colombia</w:t>
      </w:r>
    </w:p>
    <w:p>
      <w:pPr>
        <w:pStyle w:val="FirstParagraph"/>
      </w:pPr>
      <w:r>
        <w:t xml:space="preserve">The following annotated bibliography compiles essential resources regarding the legal profession within the specific jurisdiction of Bogotá, D.C., Colombia. This collection focuses on the regulatory framework, ethical obligations, and practical realities faced by lawyers operating in the capital. The selected texts range from constitutional statutes to sociological analyses of the justice system, providing a comprehensive overview for legal practitioners, students, and researchers interested in the Colombian legal landscape.</w:t>
      </w:r>
    </w:p>
    <w:p>
      <w:pPr>
        <w:pStyle w:val="BodyText"/>
      </w:pPr>
      <w:r>
        <w:t xml:space="preserve"> </w:t>
      </w:r>
      <w:r>
        <w:t xml:space="preserve">Constitution of Colombia. (1991).</w:t>
      </w:r>
      <w:r>
        <w:t xml:space="preserve"> </w:t>
      </w:r>
      <w:r>
        <w:rPr>
          <w:iCs/>
          <w:i/>
        </w:rPr>
        <w:t xml:space="preserve">Policía Nacional de Colombia.</w:t>
      </w:r>
      <w:r>
        <w:t xml:space="preserve"> </w:t>
      </w:r>
    </w:p>
    <w:p>
      <w:pPr>
        <w:pStyle w:val="BodyText"/>
      </w:pPr>
      <w:r>
        <w:t xml:space="preserve">This is the supreme law of the land, establishing the fundamental rights of citizens and the structure of the state. For a lawyer in Bogotá, this document is the primary source of authority. It outlines the jurisdiction of the Supreme Court of Justice, the Constitutional Court, and the Council of State, all of which are headquartered in Bogotá. It defines the right to due process, legal defense, and the organization of the judicial branch.</w:t>
      </w:r>
    </w:p>
    <w:p>
      <w:pPr>
        <w:pStyle w:val="BodyText"/>
      </w:pPr>
      <w:r>
        <w:rPr>
          <w:bCs/>
          <w:b/>
        </w:rPr>
        <w:t xml:space="preserve">Relevance:</w:t>
      </w:r>
      <w:r>
        <w:t xml:space="preserve"> </w:t>
      </w:r>
      <w:r>
        <w:t xml:space="preserve">Essential. No legal argument in Bogotá can be made without reference to the 1991 Constitution. It is the foundation upon which all local and national laws are built.</w:t>
      </w:r>
    </w:p>
    <w:p>
      <w:pPr>
        <w:pStyle w:val="BodyText"/>
      </w:pPr>
      <w:r>
        <w:t xml:space="preserve"> </w:t>
      </w:r>
      <w:r>
        <w:t xml:space="preserve">Law 1162 of 2007. (2007).</w:t>
      </w:r>
      <w:r>
        <w:t xml:space="preserve"> </w:t>
      </w:r>
      <w:r>
        <w:rPr>
          <w:iCs/>
          <w:i/>
        </w:rPr>
        <w:t xml:space="preserve">Statutory Law on the Legal Profession and the Justice System.</w:t>
      </w:r>
      <w:r>
        <w:t xml:space="preserve"> </w:t>
      </w:r>
    </w:p>
    <w:p>
      <w:pPr>
        <w:pStyle w:val="BodyText"/>
      </w:pPr>
      <w:r>
        <w:t xml:space="preserve">This statutory law regulates the exercise of the legal profession in Colombia. It establishes the requirements for practicing law, the duties of the lawyer, and the disciplinary regime. It specifically addresses the role of the lawyer as a functionary of justice, emphasizing independence and confidentiality. It also governs the relationship between lawyers and the courts in Bogotá, setting standards for professional conduct and ethical behavior.</w:t>
      </w:r>
    </w:p>
    <w:p>
      <w:pPr>
        <w:pStyle w:val="BodyText"/>
      </w:pPr>
      <w:r>
        <w:rPr>
          <w:bCs/>
          <w:b/>
        </w:rPr>
        <w:t xml:space="preserve">Relevance:</w:t>
      </w:r>
      <w:r>
        <w:t xml:space="preserve"> </w:t>
      </w:r>
      <w:r>
        <w:t xml:space="preserve">Critical. This is the specific code of conduct for every lawyer in Bogotá. It defines what constitutes professional misconduct and the penalties associated with it.</w:t>
      </w:r>
    </w:p>
    <w:p>
      <w:pPr>
        <w:pStyle w:val="BodyText"/>
      </w:pPr>
      <w:r>
        <w:t xml:space="preserve"> </w:t>
      </w:r>
      <w:r>
        <w:t xml:space="preserve">Consejo Superior de la Judicatura. (2023).</w:t>
      </w:r>
      <w:r>
        <w:t xml:space="preserve"> </w:t>
      </w:r>
      <w:r>
        <w:rPr>
          <w:iCs/>
          <w:i/>
        </w:rPr>
        <w:t xml:space="preserve">Reglamento Disciplinario de los Funcionarios de la Administración de Justicia.</w:t>
      </w:r>
      <w:r>
        <w:t xml:space="preserve"> </w:t>
      </w:r>
      <w:r>
        <w:t xml:space="preserve">Bogotá: CSJ.</w:t>
      </w:r>
      <w:r>
        <w:t xml:space="preserve"> </w:t>
      </w:r>
    </w:p>
    <w:p>
      <w:pPr>
        <w:pStyle w:val="BodyText"/>
      </w:pPr>
      <w:r>
        <w:t xml:space="preserve">Issued by the Superior Council of the Judiciary, this regulation details the disciplinary procedures for judges and lawyers. It provides the procedural framework for sanctions when legal professionals in Bogotá violate ethical norms. It covers issues such as conflicts of interest, delays in case handling, and improper communication with the judiciary.</w:t>
      </w:r>
    </w:p>
    <w:p>
      <w:pPr>
        <w:pStyle w:val="BodyText"/>
      </w:pPr>
      <w:r>
        <w:rPr>
          <w:bCs/>
          <w:b/>
        </w:rPr>
        <w:t xml:space="preserve">Relevance:</w:t>
      </w:r>
      <w:r>
        <w:t xml:space="preserve"> </w:t>
      </w:r>
      <w:r>
        <w:t xml:space="preserve">High. Lawyers in Bogotá must be familiar with this to avoid disciplinary action. It is the operational manual for judicial ethics in the capital.</w:t>
      </w:r>
    </w:p>
    <w:p>
      <w:pPr>
        <w:pStyle w:val="BodyText"/>
      </w:pPr>
      <w:r>
        <w:t xml:space="preserve"> </w:t>
      </w:r>
      <w:r>
        <w:t xml:space="preserve">Código General del Proceso (Law 1564 of 2012). (2012).</w:t>
      </w:r>
      <w:r>
        <w:t xml:space="preserve"> </w:t>
      </w:r>
      <w:r>
        <w:rPr>
          <w:iCs/>
          <w:i/>
        </w:rPr>
        <w:t xml:space="preserve">Presidencia de la República de Colombia.</w:t>
      </w:r>
      <w:r>
        <w:t xml:space="preserve"> </w:t>
      </w:r>
    </w:p>
    <w:p>
      <w:pPr>
        <w:pStyle w:val="BodyText"/>
      </w:pPr>
      <w:r>
        <w:t xml:space="preserve">This law unified the procedural rules for civil, commercial, labor, and family law in Colombia. It introduced oral proceedings and digital case management systems. For a lawyer in Bogotá, this code dictates how cases are filed, argued, and resolved in the local courts. It emphasizes efficiency and the use of technology in the legal process.</w:t>
      </w:r>
    </w:p>
    <w:p>
      <w:pPr>
        <w:pStyle w:val="BodyText"/>
      </w:pPr>
      <w:r>
        <w:rPr>
          <w:bCs/>
          <w:b/>
        </w:rPr>
        <w:t xml:space="preserve">Relevance:</w:t>
      </w:r>
      <w:r>
        <w:t xml:space="preserve"> </w:t>
      </w:r>
      <w:r>
        <w:t xml:space="preserve">Fundamental. This is the daily tool for litigation lawyers in Bogotá. It replaced older, fragmented procedural codes and modernized the justice system in the capital.</w:t>
      </w:r>
    </w:p>
    <w:p>
      <w:pPr>
        <w:pStyle w:val="BodyText"/>
      </w:pPr>
      <w:r>
        <w:t xml:space="preserve"> </w:t>
      </w:r>
      <w:r>
        <w:t xml:space="preserve">Asociación Colombiana de Abogados (ASOCOLAB). (2022).</w:t>
      </w:r>
      <w:r>
        <w:t xml:space="preserve"> </w:t>
      </w:r>
      <w:r>
        <w:rPr>
          <w:iCs/>
          <w:i/>
        </w:rPr>
        <w:t xml:space="preserve">Informe Anual sobre la Práctica Jurídica en Bogotá.</w:t>
      </w:r>
      <w:r>
        <w:t xml:space="preserve"> </w:t>
      </w:r>
      <w:r>
        <w:t xml:space="preserve">Bogotá: ASOCOLAB.</w:t>
      </w:r>
      <w:r>
        <w:t xml:space="preserve"> </w:t>
      </w:r>
    </w:p>
    <w:p>
      <w:pPr>
        <w:pStyle w:val="BodyText"/>
      </w:pPr>
      <w:r>
        <w:t xml:space="preserve">This annual report provides statistical data and analysis on the legal market in Bogotá. It covers trends in litigation, corporate law, and human rights defense. It also highlights challenges such as case backlogs, access to justice, and the impact of new legislation on legal practice. The report includes interviews with prominent lawyers and judges in the city.</w:t>
      </w:r>
    </w:p>
    <w:p>
      <w:pPr>
        <w:pStyle w:val="BodyText"/>
      </w:pPr>
      <w:r>
        <w:rPr>
          <w:bCs/>
          <w:b/>
        </w:rPr>
        <w:t xml:space="preserve">Relevance:</w:t>
      </w:r>
      <w:r>
        <w:t xml:space="preserve"> </w:t>
      </w:r>
      <w:r>
        <w:t xml:space="preserve">Useful. This source offers practical insights into the current state of the legal profession in Bogotá, beyond just the statutes. It is valuable for understanding market dynamics.</w:t>
      </w:r>
    </w:p>
    <w:p>
      <w:pPr>
        <w:pStyle w:val="BodyText"/>
      </w:pPr>
      <w:r>
        <w:t xml:space="preserve"> </w:t>
      </w:r>
      <w:r>
        <w:t xml:space="preserve">Restrepo, E. (2019).</w:t>
      </w:r>
      <w:r>
        <w:t xml:space="preserve"> </w:t>
      </w:r>
      <w:r>
        <w:rPr>
          <w:iCs/>
          <w:i/>
        </w:rPr>
        <w:t xml:space="preserve">La Justicia en Bogotá: Desafíos y Perspectivas.</w:t>
      </w:r>
      <w:r>
        <w:t xml:space="preserve"> </w:t>
      </w:r>
      <w:r>
        <w:t xml:space="preserve">Bogotá: Universidad de los Andes.</w:t>
      </w:r>
      <w:r>
        <w:t xml:space="preserve"> </w:t>
      </w:r>
    </w:p>
    <w:p>
      <w:pPr>
        <w:pStyle w:val="BodyText"/>
      </w:pPr>
      <w:r>
        <w:t xml:space="preserve">This academic book analyzes the judicial system in Bogotá from a sociological perspective. It examines the relationship between lawyers, judges, and the public. It discusses issues such as corruption, inequality in access to justice, and the role of the lawyer in social change. The author uses case studies from Bogotá courts to illustrate his points.</w:t>
      </w:r>
    </w:p>
    <w:p>
      <w:pPr>
        <w:pStyle w:val="BodyText"/>
      </w:pPr>
      <w:r>
        <w:rPr>
          <w:bCs/>
          <w:b/>
        </w:rPr>
        <w:t xml:space="preserve">Relevance:</w:t>
      </w:r>
      <w:r>
        <w:t xml:space="preserve"> </w:t>
      </w:r>
      <w:r>
        <w:t xml:space="preserve">Important. This text provides a critical view of the legal system in Bogotá. It is useful for lawyers who want to understand the broader social context of their work.</w:t>
      </w:r>
    </w:p>
    <w:p>
      <w:pPr>
        <w:pStyle w:val="BodyText"/>
      </w:pPr>
      <w:r>
        <w:t xml:space="preserve"> </w:t>
      </w:r>
      <w:r>
        <w:t xml:space="preserve">Corte Constitucional de Colombia. (2020).</w:t>
      </w:r>
      <w:r>
        <w:t xml:space="preserve"> </w:t>
      </w:r>
      <w:r>
        <w:rPr>
          <w:iCs/>
          <w:i/>
        </w:rPr>
        <w:t xml:space="preserve">Sentencia T-500/20.</w:t>
      </w:r>
      <w:r>
        <w:t xml:space="preserve"> </w:t>
      </w:r>
      <w:r>
        <w:t xml:space="preserve">Bogotá: Corte Constitucional.</w:t>
      </w:r>
      <w:r>
        <w:t xml:space="preserve"> </w:t>
      </w:r>
    </w:p>
    <w:p>
      <w:pPr>
        <w:pStyle w:val="BodyText"/>
      </w:pPr>
      <w:r>
        <w:t xml:space="preserve">This landmark ruling by the Constitutional Court in Bogotá addresses the rights of lawyers to practice their profession without undue interference. It reinforces the independence of the legal profession and the right to effective legal defense. The decision is frequently cited in cases involving disciplinary actions against lawyers in Bogotá.</w:t>
      </w:r>
    </w:p>
    <w:p>
      <w:pPr>
        <w:pStyle w:val="BodyText"/>
      </w:pPr>
      <w:r>
        <w:rPr>
          <w:bCs/>
          <w:b/>
        </w:rPr>
        <w:t xml:space="preserve">Relevance:</w:t>
      </w:r>
      <w:r>
        <w:t xml:space="preserve"> </w:t>
      </w:r>
      <w:r>
        <w:t xml:space="preserve">High. This ruling is a key precedent for protecting the rights of lawyers in Bogotá. It is essential reading for those involved in legal ethics and professional rights.</w:t>
      </w:r>
    </w:p>
    <w:p>
      <w:pPr>
        <w:pStyle w:val="BodyText"/>
      </w:pPr>
      <w:r>
        <w:t xml:space="preserve"> </w:t>
      </w:r>
      <w:r>
        <w:t xml:space="preserve">Ministerio de Justicia y del Derecho. (2021).</w:t>
      </w:r>
      <w:r>
        <w:t xml:space="preserve"> </w:t>
      </w:r>
      <w:r>
        <w:rPr>
          <w:iCs/>
          <w:i/>
        </w:rPr>
        <w:t xml:space="preserve">Guía para el Ejercicio de la Abogacía en Colombia.</w:t>
      </w:r>
      <w:r>
        <w:t xml:space="preserve"> </w:t>
      </w:r>
      <w:r>
        <w:t xml:space="preserve">Bogotá: Ministerio de Justicia.</w:t>
      </w:r>
      <w:r>
        <w:t xml:space="preserve"> </w:t>
      </w:r>
    </w:p>
    <w:p>
      <w:pPr>
        <w:pStyle w:val="BodyText"/>
      </w:pPr>
      <w:r>
        <w:t xml:space="preserve">This official guide provides practical information for lawyers practicing in Colombia, including Bogotá. It covers topics such as registration with the local bar association, tax obligations, and professional insurance. It also includes information on continuing legal education requirements and ethical guidelines.</w:t>
      </w:r>
    </w:p>
    <w:p>
      <w:pPr>
        <w:pStyle w:val="BodyText"/>
      </w:pPr>
      <w:r>
        <w:rPr>
          <w:bCs/>
          <w:b/>
        </w:rPr>
        <w:t xml:space="preserve">Relevance:</w:t>
      </w:r>
      <w:r>
        <w:t xml:space="preserve"> </w:t>
      </w:r>
      <w:r>
        <w:t xml:space="preserve">Practical. This is a handy reference for lawyers starting their practice in Bogotá. It simplifies complex regulatory requirements into an accessible format.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the Lawyer in Bogotá, Colombia</dc:title>
  <dc:creator/>
  <dc:language>en</dc:language>
  <cp:keywords/>
  <dcterms:created xsi:type="dcterms:W3CDTF">2026-08-07T07:21:02Z</dcterms:created>
  <dcterms:modified xsi:type="dcterms:W3CDTF">2026-08-07T07:21:02Z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