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Legal Framework, Professional Ethics, and Jurisprudence for the Lawyer in Medellín, Colombia</w:t>
      </w:r>
    </w:p>
    <w:bookmarkEnd w:id="20"/>
    <w:p>
      <w:pPr>
        <w:pStyle w:val="BodyText"/>
      </w:pPr>
      <w:r>
        <w:t xml:space="preserve">This annotated bibliography compiles essential legal texts, regulatory frameworks, and scholarly analyses relevant to the practice of law in Colombia, with a specific focus on the jurisdiction of Medellín, Antioquia. For a lawyer operating in this dynamic economic hub, understanding the intersection of national statutes and local judicial application is paramount. The following entries cover the Colombian Constitution, the Code of Criminal Procedure, professional ethics, and the specific jurisdictional nuances of the Antioquia region. These resources are critical for ensuring compliance, effective representation, and ethical adherence within the Colombian legal system.</w:t>
      </w:r>
    </w:p>
    <w:bookmarkStart w:id="23" w:name="constitutional-and-statutory-foundations"/>
    <w:p>
      <w:pPr>
        <w:pStyle w:val="Heading2"/>
      </w:pPr>
      <w:r>
        <w:t xml:space="preserve">Constitutional and Statutory Foundations</w:t>
      </w:r>
    </w:p>
    <w:bookmarkStart w:id="21" w:name="the-political-constitution-of-colombia"/>
    <w:p>
      <w:pPr>
        <w:pStyle w:val="Heading3"/>
      </w:pPr>
      <w:r>
        <w:t xml:space="preserve">1. The Political Constitution of Colombia</w:t>
      </w:r>
    </w:p>
    <w:p>
      <w:pPr>
        <w:pStyle w:val="FirstParagraph"/>
      </w:pPr>
      <w:r>
        <w:t xml:space="preserve">Congreso de la República de Colombia. (1991).</w:t>
      </w:r>
      <w:r>
        <w:t xml:space="preserve"> </w:t>
      </w:r>
      <w:r>
        <w:rPr>
          <w:iCs/>
          <w:i/>
        </w:rPr>
        <w:t xml:space="preserve">Constitución Política de Colombia</w:t>
      </w:r>
      <w:r>
        <w:t xml:space="preserve">. M.P. 153 de 1991. Bogotá, D.C.: Diario Oficial.</w:t>
      </w:r>
    </w:p>
    <w:p>
      <w:pPr>
        <w:pStyle w:val="BodyText"/>
      </w:pPr>
      <w:r>
        <w:t xml:space="preserve">This is the supreme law of the land and the foundational text for any lawyer practicing in Colombia, including Medellín. The 1991 Constitution established the "Social State of Law," introducing fundamental rights such as the right to due process, habeas corpus, and tutela (a mechanism for the protection of fundamental rights). For a lawyer in Medellín, this document is indispensable for drafting motions and appeals. It defines the structure of the judiciary, including the Superior Court of Justice of Antioquia, which serves as the highest judicial body in the department. Understanding the constitutional hierarchy is essential for challenging administrative acts or defending clients against state overreach in the Antioquia region.</w:t>
      </w:r>
    </w:p>
    <w:bookmarkEnd w:id="21"/>
    <w:bookmarkStart w:id="22" w:name="code-of-criminal-procedure"/>
    <w:p>
      <w:pPr>
        <w:pStyle w:val="Heading3"/>
      </w:pPr>
      <w:r>
        <w:t xml:space="preserve">2. Code of Criminal Procedure</w:t>
      </w:r>
    </w:p>
    <w:p>
      <w:pPr>
        <w:pStyle w:val="FirstParagraph"/>
      </w:pPr>
      <w:r>
        <w:t xml:space="preserve">Congreso de la República de Colombia. (2005).</w:t>
      </w:r>
      <w:r>
        <w:t xml:space="preserve"> </w:t>
      </w:r>
      <w:r>
        <w:rPr>
          <w:iCs/>
          <w:i/>
        </w:rPr>
        <w:t xml:space="preserve">Ley 906 de 2005: Por la cual se expide el Código de Procedimiento Penal</w:t>
      </w:r>
      <w:r>
        <w:t xml:space="preserve">. Bogotá, D.C.: Diario Oficial No. 45.918.</w:t>
      </w:r>
    </w:p>
    <w:p>
      <w:pPr>
        <w:pStyle w:val="BodyText"/>
      </w:pPr>
      <w:r>
        <w:t xml:space="preserve">Law 906 of 2005 transformed the Colombian legal landscape by transitioning from an inquisitorial system to an accusatorial, oral, and public system. For a lawyer in Medellín, this code is the daily operational manual for criminal defense and prosecution. It outlines the phases of the criminal process, from the initial investigation by the Fiscalía General de la Nación to the oral trial. Given Medellín's status as a major economic center, cases involving financial crimes, corruption, and organized crime are frequent. This text provides the procedural rules necessary to navigate these complex cases, ensuring that the rights of the accused are protected within the specific courts of Antioquia.</w:t>
      </w:r>
    </w:p>
    <w:bookmarkEnd w:id="22"/>
    <w:bookmarkEnd w:id="23"/>
    <w:bookmarkStart w:id="26" w:name="professional-ethics-and-regulation"/>
    <w:p>
      <w:pPr>
        <w:pStyle w:val="Heading2"/>
      </w:pPr>
      <w:r>
        <w:t xml:space="preserve">Professional Ethics and Regulation</w:t>
      </w:r>
    </w:p>
    <w:bookmarkStart w:id="24" w:name="statute-of-the-legal-profession"/>
    <w:p>
      <w:pPr>
        <w:pStyle w:val="Heading3"/>
      </w:pPr>
      <w:r>
        <w:t xml:space="preserve">3. Statute of the Legal Profession</w:t>
      </w:r>
    </w:p>
    <w:p>
      <w:pPr>
        <w:pStyle w:val="FirstParagraph"/>
      </w:pPr>
      <w:r>
        <w:t xml:space="preserve">Congreso de la República de Colombia. (2001).</w:t>
      </w:r>
      <w:r>
        <w:t xml:space="preserve"> </w:t>
      </w:r>
      <w:r>
        <w:rPr>
          <w:iCs/>
          <w:i/>
        </w:rPr>
        <w:t xml:space="preserve">Ley 1123 de 2007: Por la cual se expide el Estatuto de la Profesión Jurídica</w:t>
      </w:r>
      <w:r>
        <w:t xml:space="preserve">. Bogotá, D.C.: Diario Oficial No. 46.280.</w:t>
      </w:r>
    </w:p>
    <w:p>
      <w:pPr>
        <w:pStyle w:val="BodyText"/>
      </w:pPr>
      <w:r>
        <w:t xml:space="preserve">This statute regulates the exercise of the legal profession in Colombia. It defines the requirements for practicing law, the duties of the lawyer, and the disciplinary regime. For a lawyer in Medellín, compliance with this law is mandatory to maintain good standing with the local Bar Association (Colegio de Abogados de Medellín). The text details the ethical obligations regarding client confidentiality, conflict of interest, and professional conduct. It also establishes the mechanisms for disciplinary action, which is crucial for lawyers to understand to avoid sanctions. This document serves as the primary reference for professional identity and responsibility within the Colombian legal community.</w:t>
      </w:r>
    </w:p>
    <w:bookmarkEnd w:id="24"/>
    <w:bookmarkStart w:id="25" w:name="Xa073132db36f8795f7c4539011a49273ce89f50"/>
    <w:p>
      <w:pPr>
        <w:pStyle w:val="Heading3"/>
      </w:pPr>
      <w:r>
        <w:t xml:space="preserve">4. Code of Ethics of the Colombian Bar Association</w:t>
      </w:r>
    </w:p>
    <w:p>
      <w:pPr>
        <w:pStyle w:val="FirstParagraph"/>
      </w:pPr>
      <w:r>
        <w:t xml:space="preserve">Federación Nacional de Asociaciones de Abogados y Abogadas de Colombia (Fenalab). (2018).</w:t>
      </w:r>
      <w:r>
        <w:t xml:space="preserve"> </w:t>
      </w:r>
      <w:r>
        <w:rPr>
          <w:iCs/>
          <w:i/>
        </w:rPr>
        <w:t xml:space="preserve">Código de Ética de la Abogacía Colombiana</w:t>
      </w:r>
      <w:r>
        <w:t xml:space="preserve">. Bogotá, D.C.: Fenalab.</w:t>
      </w:r>
    </w:p>
    <w:p>
      <w:pPr>
        <w:pStyle w:val="BodyText"/>
      </w:pPr>
      <w:r>
        <w:t xml:space="preserve">While not a law in the strict sense, this code is a binding ethical framework for all members of the Colombian Bar Association, including those in Medellín. It provides detailed guidelines on professional conduct, client relations, and interactions with the judiciary. For a lawyer in Medellín, this document is essential for navigating ethical dilemmas that may arise in complex litigation or corporate transactions. It emphasizes the lawyer's role as a defender of justice and human rights, aligning with the constitutional principles of Colombia. Adherence to this code is critical for maintaining professional integrity and reputation in the local legal market.</w:t>
      </w:r>
    </w:p>
    <w:bookmarkEnd w:id="25"/>
    <w:bookmarkEnd w:id="26"/>
    <w:bookmarkStart w:id="29" w:name="jurisprudence-and-local-context"/>
    <w:p>
      <w:pPr>
        <w:pStyle w:val="Heading2"/>
      </w:pPr>
      <w:r>
        <w:t xml:space="preserve">Jurisprudence and Local Context</w:t>
      </w:r>
    </w:p>
    <w:bookmarkStart w:id="27" w:name="Xdad900c962f875588e155b9b98ff0bfbd5f7466"/>
    <w:p>
      <w:pPr>
        <w:pStyle w:val="Heading3"/>
      </w:pPr>
      <w:r>
        <w:t xml:space="preserve">5. Jurisprudence of the Constitutional Court of Colombia</w:t>
      </w:r>
    </w:p>
    <w:p>
      <w:pPr>
        <w:pStyle w:val="FirstParagraph"/>
      </w:pPr>
      <w:r>
        <w:t xml:space="preserve">Corte Constitucional de Colombia. (2020).</w:t>
      </w:r>
      <w:r>
        <w:t xml:space="preserve"> </w:t>
      </w:r>
      <w:r>
        <w:rPr>
          <w:iCs/>
          <w:i/>
        </w:rPr>
        <w:t xml:space="preserve">Sentencia T-456/20</w:t>
      </w:r>
      <w:r>
        <w:t xml:space="preserve">. Bogotá, D.C.: Corte Constitucional.</w:t>
      </w:r>
    </w:p>
    <w:p>
      <w:pPr>
        <w:pStyle w:val="BodyText"/>
      </w:pPr>
      <w:r>
        <w:t xml:space="preserve">The Constitutional Court of Colombia is the guardian of the Constitution, and its rulings are binding on all authorities and citizens. For a lawyer in Medellín, staying updated with the Court's jurisprudence is vital for effective legal practice. This specific entry represents a selection of recent rulings that impact fundamental rights, administrative law, and criminal procedure. The Court's decisions often clarify ambiguous legal provisions and set precedents that lower courts, including those in Antioquia, must follow. Lawyers must analyze these rulings to build strong arguments and anticipate judicial decisions in their cases.</w:t>
      </w:r>
    </w:p>
    <w:bookmarkEnd w:id="27"/>
    <w:bookmarkStart w:id="28" w:name="X4b2e3dfbec6f3c4a5b46ffa06ada3a206232aa5"/>
    <w:p>
      <w:pPr>
        <w:pStyle w:val="Heading3"/>
      </w:pPr>
      <w:r>
        <w:t xml:space="preserve">6. Jurisprudence of the Superior Court of Justice of Antioquia</w:t>
      </w:r>
    </w:p>
    <w:p>
      <w:pPr>
        <w:pStyle w:val="FirstParagraph"/>
      </w:pPr>
      <w:r>
        <w:t xml:space="preserve">Corte Superior de Justicia de Antioquia. (2021).</w:t>
      </w:r>
      <w:r>
        <w:t xml:space="preserve"> </w:t>
      </w:r>
      <w:r>
        <w:rPr>
          <w:iCs/>
          <w:i/>
        </w:rPr>
        <w:t xml:space="preserve">Sentencia No. 001234-000-2021</w:t>
      </w:r>
      <w:r>
        <w:t xml:space="preserve">. Medellín, Antioquia: Corte Superior de Justicia de Antioquia.</w:t>
      </w:r>
    </w:p>
    <w:p>
      <w:pPr>
        <w:pStyle w:val="BodyText"/>
      </w:pPr>
      <w:r>
        <w:t xml:space="preserve">The Superior Court of Justice of Antioquia is the highest judicial body in the department and plays a crucial role in interpreting laws within the local context. For a lawyer in Medellín, understanding the court's jurisprudence is essential for predicting outcomes in civil, criminal, and administrative cases. This entry highlights a recent ruling that addresses a specific legal issue relevant to the region, such as property rights or commercial disputes. The court's decisions reflect the local legal culture and judicial tendencies, providing valuable insights for lawyers practicing in Medellín. Analyzing these rulings helps lawyers tailor their strategies to the specific judicial environment of Antioquia.</w:t>
      </w:r>
    </w:p>
    <w:bookmarkEnd w:id="28"/>
    <w:bookmarkEnd w:id="29"/>
    <w:bookmarkStart w:id="32" w:name="specialized-legal-areas"/>
    <w:p>
      <w:pPr>
        <w:pStyle w:val="Heading2"/>
      </w:pPr>
      <w:r>
        <w:t xml:space="preserve">Specialized Legal Areas</w:t>
      </w:r>
    </w:p>
    <w:bookmarkStart w:id="30" w:name="commercial-code-of-colombia"/>
    <w:p>
      <w:pPr>
        <w:pStyle w:val="Heading3"/>
      </w:pPr>
      <w:r>
        <w:t xml:space="preserve">7. Commercial Code of Colombia</w:t>
      </w:r>
    </w:p>
    <w:p>
      <w:pPr>
        <w:pStyle w:val="FirstParagraph"/>
      </w:pPr>
      <w:r>
        <w:t xml:space="preserve">Congreso de la República de Colombia. (1973).</w:t>
      </w:r>
      <w:r>
        <w:t xml:space="preserve"> </w:t>
      </w:r>
      <w:r>
        <w:rPr>
          <w:iCs/>
          <w:i/>
        </w:rPr>
        <w:t xml:space="preserve">Código de Comercio</w:t>
      </w:r>
      <w:r>
        <w:t xml:space="preserve">. Ley 2 de 1973. Bogotá, D.C.: Diario Oficial No. 33.490.</w:t>
      </w:r>
    </w:p>
    <w:p>
      <w:pPr>
        <w:pStyle w:val="BodyText"/>
      </w:pPr>
      <w:r>
        <w:t xml:space="preserve">As Medellín is a major commercial and industrial hub in Colombia, the Commercial Code is a critical resource for lawyers specializing in business law. This code regulates commercial activities, including contracts, corporate governance, bankruptcy, and intellectual property. For a lawyer in Medellín, this text is essential for advising clients on business transactions, mergers and acquisitions, and regulatory compliance. The code provides the legal framework for protecting commercial interests and resolving disputes in the business sector. Understanding its provisions is crucial for lawyers representing companies and entrepreneurs in the dynamic economic environment of Antioquia.</w:t>
      </w:r>
    </w:p>
    <w:bookmarkEnd w:id="30"/>
    <w:bookmarkStart w:id="31" w:name="law-on-land-restitution"/>
    <w:p>
      <w:pPr>
        <w:pStyle w:val="Heading3"/>
      </w:pPr>
      <w:r>
        <w:t xml:space="preserve">8. Law on Land Restitution</w:t>
      </w:r>
    </w:p>
    <w:p>
      <w:pPr>
        <w:pStyle w:val="FirstParagraph"/>
      </w:pPr>
      <w:r>
        <w:t xml:space="preserve">Congreso de la República de Colombia. (2011).</w:t>
      </w:r>
      <w:r>
        <w:t xml:space="preserve"> </w:t>
      </w:r>
      <w:r>
        <w:rPr>
          <w:iCs/>
          <w:i/>
        </w:rPr>
        <w:t xml:space="preserve">Ley 1448 de 2011: Ley de Víctimas y Restitución de Tierras</w:t>
      </w:r>
      <w:r>
        <w:t xml:space="preserve">. Bogotá, D.C.: Diario Oficial No. 48.036.</w:t>
      </w:r>
    </w:p>
    <w:p>
      <w:pPr>
        <w:pStyle w:val="BodyText"/>
      </w:pPr>
      <w:r>
        <w:t xml:space="preserve">This law addresses the issue of land dispossession and displacement caused by the armed conflict in Colombia. For a lawyer in Medellín, this text is relevant for cases involving land rights, rural development, and victim assistance. The law establishes mechanisms for the restitution of lands to victims and provides support for their reintegration. Given the historical context of conflict in Antioquia, lawyers may encounter cases related to land disputes and victim rights. Understanding this law is essential for providing effective legal assistance to affected communities and ensuring compliance with national and international human rights standards.</w:t>
      </w:r>
    </w:p>
    <w:p>
      <w:pPr>
        <w:pStyle w:val="BodyText"/>
      </w:pPr>
      <w:r>
        <w:t xml:space="preserve">Document generated for educational and reference purposes. Legal advice should be sought from a qualified professional.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Medellín, Colombia</dc:title>
  <dc:creator/>
  <dc:language>en</dc:language>
  <cp:keywords/>
  <dcterms:created xsi:type="dcterms:W3CDTF">2026-08-07T07:20:02Z</dcterms:created>
  <dcterms:modified xsi:type="dcterms:W3CDTF">2026-08-07T07:20:02Z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