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Frankfurt,</w:t>
      </w:r>
      <w:r>
        <w:t xml:space="preserve"> </w:t>
      </w:r>
      <w:r>
        <w:t xml:space="preserve">Germany</w:t>
      </w:r>
    </w:p>
    <w:bookmarkStart w:id="24" w:name="Xd2980ecc2f293b89efef4ff2282c99533b18a10"/>
    <w:p>
      <w:pPr>
        <w:pStyle w:val="Heading1"/>
      </w:pPr>
      <w:r>
        <w:t xml:space="preserve">Annotated Bibliography: Legal Practice and the Lawyer in Frankfurt, Germany</w:t>
      </w:r>
    </w:p>
    <w:p>
      <w:pPr>
        <w:pStyle w:val="FirstParagraph"/>
      </w:pPr>
      <w:r>
        <w:t xml:space="preserve">This annotated bibliography compiles essential resources regarding the role, regulation, and practice of the lawyer within the specific jurisdiction of Germany, with a focused emphasis on the legal landscape of Frankfurt am Main. As the financial capital of Germany and a hub for international law, Frankfurt presents unique challenges and opportunities for legal professionals. The following entries cover statutory frameworks, professional ethics, international arbitration, and the specific market dynamics of the city.</w:t>
      </w:r>
    </w:p>
    <w:bookmarkStart w:id="20" w:name="X0df8b2bf3b398aecfb3d2f21d3cf779a5d40bff"/>
    <w:p>
      <w:pPr>
        <w:pStyle w:val="Heading2"/>
      </w:pPr>
      <w:r>
        <w:t xml:space="preserve">Statutory Framework and Professional Regulation</w:t>
      </w:r>
    </w:p>
    <w:p>
      <w:pPr>
        <w:pStyle w:val="FirstParagraph"/>
      </w:pPr>
      <w:r>
        <w:t xml:space="preserve">Bundesrechtsanwaltsordnung (BRAO) – Federal Lawyers’ Act. (2023). Bundesgesetzblatt.</w:t>
      </w:r>
    </w:p>
    <w:p>
      <w:pPr>
        <w:pStyle w:val="BodyText"/>
      </w:pPr>
      <w:r>
        <w:t xml:space="preserve">The Bundesrechtsanwaltsordnung (BRAO) is the primary federal statute governing the legal profession in Germany. For any lawyer intending to practice in Frankfurt, this document is foundational. It outlines the requirements for admission to the bar, the structure of the legal profession, and the disciplinary measures applicable to attorneys. This source is critical for understanding the statutory definition of a lawyer in Germany, distinguishing between fully qualified attorneys (Rechtsanwälte) and foreign legal consultants. It provides the legal basis for the operations of the Frankfurt Bar Association (Frankfurter Anwaltskammer), ensuring that all legal practitioners in the city adhere to uniform national standards regarding independence and professional conduct.</w:t>
      </w:r>
    </w:p>
    <w:p>
      <w:pPr>
        <w:pStyle w:val="BodyText"/>
      </w:pPr>
      <w:r>
        <w:t xml:space="preserve">Berufsordnung für Rechtsanwälte (BORA) – Professional Code of Conduct for Lawyers. (2022). Deutscher Anwaltverein.</w:t>
      </w:r>
    </w:p>
    <w:p>
      <w:pPr>
        <w:pStyle w:val="BodyText"/>
      </w:pPr>
      <w:r>
        <w:t xml:space="preserve">The BORA serves as the ethical code of conduct for lawyers in Germany. While the BRAO provides the statutory framework, the BORA details the ethical obligations, including confidentiality, conflict of interest rules, and advertising restrictions. For a lawyer operating in Frankfurt, a city characterized by high-stakes corporate litigation and financial transactions, adherence to the BORA is paramount. This document is essential for navigating the complex ethical dilemmas often encountered in international business law. It clarifies the duties owed to clients and the court, ensuring that the reputation of the legal profession in Germany remains intact amidst the competitive environment of the Frankfurt legal market.</w:t>
      </w:r>
    </w:p>
    <w:bookmarkEnd w:id="20"/>
    <w:bookmarkStart w:id="21" w:name="X13eeb6d67507a189001b8e52eb3a8018bd17a44"/>
    <w:p>
      <w:pPr>
        <w:pStyle w:val="Heading2"/>
      </w:pPr>
      <w:r>
        <w:t xml:space="preserve">International Law and Arbitration in Frankfurt</w:t>
      </w:r>
    </w:p>
    <w:p>
      <w:pPr>
        <w:pStyle w:val="FirstParagraph"/>
      </w:pPr>
      <w:r>
        <w:t xml:space="preserve">Schütze, R. (2021). International Arbitration in Germany: The Frankfurt Perspective. In</w:t>
      </w:r>
      <w:r>
        <w:t xml:space="preserve"> </w:t>
      </w:r>
      <w:r>
        <w:rPr>
          <w:iCs/>
          <w:i/>
        </w:rPr>
        <w:t xml:space="preserve">Journal of International Arbitration</w:t>
      </w:r>
      <w:r>
        <w:t xml:space="preserve">, 38(4), 45-67.</w:t>
      </w:r>
    </w:p>
    <w:p>
      <w:pPr>
        <w:pStyle w:val="BodyText"/>
      </w:pPr>
      <w:r>
        <w:t xml:space="preserve">This academic article provides a comprehensive analysis of Frankfurt’s emergence as a leading seat for international arbitration in Europe. The author examines the procedural advantages of choosing Frankfurt as a venue, citing the efficiency of the local courts and the expertise of local lawyers in cross-border disputes. This source is particularly relevant for lawyers specializing in commercial law who serve multinational clients. It highlights how German procedural law interacts with international arbitration standards, offering practical insights for legal practitioners aiming to represent clients in Frankfurt-based arbitration proceedings. The article underscores the city’s strategic importance in the global legal landscape.</w:t>
      </w:r>
    </w:p>
    <w:p>
      <w:pPr>
        <w:pStyle w:val="BodyText"/>
      </w:pPr>
      <w:r>
        <w:t xml:space="preserve">European Central Bank (ECB). (2023).</w:t>
      </w:r>
      <w:r>
        <w:t xml:space="preserve"> </w:t>
      </w:r>
      <w:r>
        <w:rPr>
          <w:iCs/>
          <w:i/>
        </w:rPr>
        <w:t xml:space="preserve">Legal Framework for Banking Supervision in the Euro Area</w:t>
      </w:r>
      <w:r>
        <w:t xml:space="preserve">. Frankfurt am Main: ECB Publications.</w:t>
      </w:r>
    </w:p>
    <w:p>
      <w:pPr>
        <w:pStyle w:val="BodyText"/>
      </w:pPr>
      <w:r>
        <w:t xml:space="preserve">Given Frankfurt’s status as the headquarters of the European Central Bank, this publication is indispensable for lawyers specializing in financial and banking law. It outlines the regulatory environment that governs financial institutions operating within the Eurozone. For a lawyer in Frankfurt, understanding this framework is crucial when advising banks, fintech companies, and investment firms. The document details compliance requirements and supervisory procedures, providing a necessary reference for legal professionals navigating the intersection of German national law and European financial regulations. It reflects the specialized nature of legal practice in Frankfurt compared to other German cities.</w:t>
      </w:r>
    </w:p>
    <w:bookmarkEnd w:id="21"/>
    <w:bookmarkStart w:id="22" w:name="X06380a4ddb6ea9a1d7b58150c5afde8fbdd8d1c"/>
    <w:p>
      <w:pPr>
        <w:pStyle w:val="Heading2"/>
      </w:pPr>
      <w:r>
        <w:t xml:space="preserve">Market Dynamics and Professional Development</w:t>
      </w:r>
    </w:p>
    <w:p>
      <w:pPr>
        <w:pStyle w:val="FirstParagraph"/>
      </w:pPr>
      <w:r>
        <w:t xml:space="preserve">Frankfurter Anwaltskammer. (2023).</w:t>
      </w:r>
      <w:r>
        <w:t xml:space="preserve"> </w:t>
      </w:r>
      <w:r>
        <w:rPr>
          <w:iCs/>
          <w:i/>
        </w:rPr>
        <w:t xml:space="preserve">Annual Report on the Legal Profession in Frankfurt</w:t>
      </w:r>
      <w:r>
        <w:t xml:space="preserve">. Frankfurt am Main: Chamber of Lawyers.</w:t>
      </w:r>
    </w:p>
    <w:p>
      <w:pPr>
        <w:pStyle w:val="BodyText"/>
      </w:pPr>
      <w:r>
        <w:t xml:space="preserve">This annual report offers statistical data and qualitative analysis of the legal profession within the jurisdiction of the Frankfurt Bar Association. It provides insights into the number of practicing lawyers, the distribution of legal specialties, and the demographic trends within the profession. For a lawyer considering relocation to Frankfurt or seeking to understand the local market, this source is invaluable. It highlights the high concentration of corporate and tax lawyers in the city, reflecting Frankfurt’s economic profile. The report also discusses ongoing initiatives for professional development and continuing legal education, which are mandatory for maintaining licensure in Germany.</w:t>
      </w:r>
    </w:p>
    <w:p>
      <w:pPr>
        <w:pStyle w:val="BodyText"/>
      </w:pPr>
      <w:r>
        <w:t xml:space="preserve">Müller, K., &amp; Schmidt, H. (2022).</w:t>
      </w:r>
      <w:r>
        <w:t xml:space="preserve"> </w:t>
      </w:r>
      <w:r>
        <w:rPr>
          <w:iCs/>
          <w:i/>
        </w:rPr>
        <w:t xml:space="preserve">Foreign Lawyers in Germany: Admission and Practice Rights</w:t>
      </w:r>
      <w:r>
        <w:t xml:space="preserve">. Berlin: De Gruyter.</w:t>
      </w:r>
    </w:p>
    <w:p>
      <w:pPr>
        <w:pStyle w:val="BodyText"/>
      </w:pPr>
      <w:r>
        <w:t xml:space="preserve">This book addresses the specific challenges faced by foreign-trained lawyers seeking to practice in Germany. It details the procedures for recognition of foreign qualifications and the options available, such as becoming a European Lawyer (Rechtsanwalt europäischer Gemeinschaft) or a Foreign Legal Consultant (Ausländischer Rechtsberater). For international lawyers targeting the Frankfurt market, this text is a practical guide. It explains the linguistic and legal knowledge requirements necessary for integration into the German legal system. The authors provide case studies and practical advice, making it a crucial resource for understanding the barriers and pathways to legal practice in Germany’s financial hub.</w:t>
      </w:r>
    </w:p>
    <w:bookmarkEnd w:id="22"/>
    <w:bookmarkStart w:id="23" w:name="conclusion"/>
    <w:p>
      <w:pPr>
        <w:pStyle w:val="Heading2"/>
      </w:pPr>
      <w:r>
        <w:t xml:space="preserve">Conclusion</w:t>
      </w:r>
    </w:p>
    <w:p>
      <w:pPr>
        <w:pStyle w:val="FirstParagraph"/>
      </w:pPr>
      <w:r>
        <w:t xml:space="preserve">The selected bibliography illustrates the multifaceted nature of legal practice in Frankfurt, Germany. From the foundational statutes of the BRAO and BORA to the specialized demands of international arbitration and financial regulation, a lawyer in Frankfurt must possess a deep understanding of both national law and international standards. These resources collectively provide a robust framework for understanding the professional, ethical, and practical dimensions of being a lawyer in one of Europe’s most significant legal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Frankfurt, Germany</dc:title>
  <dc:creator/>
  <dc:language>en</dc:language>
  <cp:keywords/>
  <dcterms:created xsi:type="dcterms:W3CDTF">2026-08-07T03:02:14Z</dcterms:created>
  <dcterms:modified xsi:type="dcterms:W3CDTF">2026-08-07T03:02:14Z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