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Mumbai,</w:t>
      </w:r>
      <w:r>
        <w:t xml:space="preserve"> </w:t>
      </w:r>
      <w:r>
        <w:t xml:space="preserve">India</w:t>
      </w:r>
    </w:p>
    <w:bookmarkStart w:id="20" w:name="Xed0a51268b3a497df89d8e39f0cf8e0b2e506b9"/>
    <w:p>
      <w:pPr>
        <w:pStyle w:val="Heading1"/>
      </w:pPr>
      <w:r>
        <w:t xml:space="preserve">Annotated Bibliography: The Role of the Lawyer in Mumbai, India</w:t>
      </w:r>
    </w:p>
    <w:p>
      <w:pPr>
        <w:pStyle w:val="FirstParagraph"/>
      </w:pPr>
      <w:r>
        <w:rPr>
          <w:bCs/>
          <w:b/>
        </w:rPr>
        <w:t xml:space="preserve">Subject:</w:t>
      </w:r>
      <w:r>
        <w:t xml:space="preserve"> </w:t>
      </w:r>
      <w:r>
        <w:t xml:space="preserve">Legal Practice, Jurisprudence, and Professional Ethics in the Bombay High Court Jurisdiction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legal landscape of India is vast and complex, but nowhere is it more dynamic than in Mumbai, the financial capital of the nation. As the seat of the Bombay High Court, Mumbai serves as the epicenter for commercial litigation, maritime law, and intellectual property disputes in the country. For any individual or entity seeking legal counsel in this region, understanding the regulatory framework, the historical context of the bar, and the specific challenges of practicing law in this metropolis is essential.</w:t>
      </w:r>
    </w:p>
    <w:p>
      <w:pPr>
        <w:pStyle w:val="BodyText"/>
      </w:pPr>
      <w:r>
        <w:t xml:space="preserve">This annotated bibliography compiles key resources regarding the profession of the lawyer in Mumbai. It covers the statutory regulations governing the Bar Council of India, the specific procedural nuances of the Bombay High Court, and the socio-economic factors influencing legal representation in the city. These sources provide a comprehensive overview for those researching the efficacy, ethics, and accessibility of legal services in Mumbai.</w:t>
      </w:r>
    </w:p>
    <w:bookmarkEnd w:id="21"/>
    <w:bookmarkStart w:id="22" w:name="X2618e9d7a0350f25a2b3a4e5398a9098a855049"/>
    <w:p>
      <w:pPr>
        <w:pStyle w:val="Heading2"/>
      </w:pPr>
      <w:r>
        <w:t xml:space="preserve">Primary Legal Sources and Statutory Framework</w:t>
      </w:r>
    </w:p>
    <w:p>
      <w:pPr>
        <w:pStyle w:val="FirstParagraph"/>
      </w:pPr>
      <w:r>
        <w:t xml:space="preserve">Bar Council of India. (1961). The Advocates Act, 1961. Ministry of Law and Justice, Government of India.</w:t>
      </w:r>
    </w:p>
    <w:p>
      <w:pPr>
        <w:pStyle w:val="BodyText"/>
      </w:pPr>
      <w:r>
        <w:t xml:space="preserve">This is the foundational statute governing the legal profession in India. For a lawyer practicing in Mumbai, this Act is the primary source of authority regarding enrollment, rights, and disciplinary procedures. It establishes the Bar Council of India and State Bar Councils, including the Maharashtra State Bar Council, which oversees the conduct of advocates in Mumbai.</w:t>
      </w:r>
    </w:p>
    <w:p>
      <w:pPr>
        <w:pStyle w:val="BodyText"/>
      </w:pPr>
      <w:r>
        <w:t xml:space="preserve">The document is critical for understanding the qualifications required to practice before the Bombay High Court. It outlines the ethical obligations of a lawyer, ensuring that legal representation in Mumbai adheres to national standards of integrity. Any research into the professional status of a lawyer in India must begin with this text, as it defines the very existence of the legal profession in the country.</w:t>
      </w:r>
    </w:p>
    <w:p>
      <w:pPr>
        <w:pStyle w:val="BodyText"/>
      </w:pPr>
      <w:r>
        <w:t xml:space="preserve">The Bombay High Court. (2023). Practice Directions and Rules of the Bombay High Court. Mumbai: High Court of Judicature at Bombay.</w:t>
      </w:r>
    </w:p>
    <w:p>
      <w:pPr>
        <w:pStyle w:val="BodyText"/>
      </w:pPr>
      <w:r>
        <w:t xml:space="preserve">While the Advocates Act provides the national framework, the specific rules of practice in Mumbai are detailed in the Bombay High Court's own regulations. This document is indispensable for any lawyer operating within the jurisdiction of the High Court at Fort, Mumbai. It details the dress code, the hierarchy of the bar, the procedure for filing writs, and the specific etiquette required in the courtroom.</w:t>
      </w:r>
    </w:p>
    <w:p>
      <w:pPr>
        <w:pStyle w:val="BodyText"/>
      </w:pPr>
      <w:r>
        <w:t xml:space="preserve">For a client or researcher, this source highlights the procedural rigor of the Mumbai legal system. It explains why legal representation in this city requires specialized knowledge of local rules that differ from other Indian states. The document underscores the formal nature of the Bombay High Court, one of the oldest and most prestigious courts in India, and the high standards expected of the lawyers who appear before it.</w:t>
      </w:r>
    </w:p>
    <w:bookmarkEnd w:id="22"/>
    <w:bookmarkStart w:id="23" w:name="professional-ethics-and-conduct"/>
    <w:p>
      <w:pPr>
        <w:pStyle w:val="Heading2"/>
      </w:pPr>
      <w:r>
        <w:t xml:space="preserve">Professional Ethics and Conduct</w:t>
      </w:r>
    </w:p>
    <w:p>
      <w:pPr>
        <w:pStyle w:val="FirstParagraph"/>
      </w:pPr>
      <w:r>
        <w:t xml:space="preserve">Maharashtra State Bar Council. (2019). Rules of Professional Conduct and Etiquette for Advocates. Mumbai: MSBC Publications.</w:t>
      </w:r>
    </w:p>
    <w:p>
      <w:pPr>
        <w:pStyle w:val="BodyText"/>
      </w:pPr>
      <w:r>
        <w:t xml:space="preserve">This publication elaborates on the ethical duties of a lawyer specifically within the state of Maharashtra. It addresses issues such as conflict of interest, confidentiality, and the prohibition of advertising, which are particularly relevant in the competitive legal market of Mumbai.</w:t>
      </w:r>
    </w:p>
    <w:p>
      <w:pPr>
        <w:pStyle w:val="BodyText"/>
      </w:pPr>
      <w:r>
        <w:t xml:space="preserve">The document is vital for understanding the moral framework that guides a lawyer in Mumbai. It provides insight into how the bar regulates itself to maintain public trust. For anyone hiring legal counsel in Mumbai, this text serves as a benchmark for evaluating the professional behavior of an advocate. It emphasizes that a lawyer in India is not merely a service provider but an officer of the court with a duty to uphold justice above all else.</w:t>
      </w:r>
    </w:p>
    <w:bookmarkEnd w:id="23"/>
    <w:bookmarkStart w:id="24" w:name="Xd9a841ed53dd6d09cca568e06b440b238951f1b"/>
    <w:p>
      <w:pPr>
        <w:pStyle w:val="Heading2"/>
      </w:pPr>
      <w:r>
        <w:t xml:space="preserve">Socio-Legal Context and Access to Justice</w:t>
      </w:r>
    </w:p>
    <w:p>
      <w:pPr>
        <w:pStyle w:val="FirstParagraph"/>
      </w:pPr>
      <w:r>
        <w:t xml:space="preserve">Sarkar, S. (2018). Access to Justice in Urban India: The Case of Mumbai. Journal of Indian Law and Society, 12(3), 45-67.</w:t>
      </w:r>
    </w:p>
    <w:p>
      <w:pPr>
        <w:pStyle w:val="BodyText"/>
      </w:pPr>
      <w:r>
        <w:t xml:space="preserve">This academic article examines the challenges faced by the common citizen in accessing legal representation in Mumbai. It discusses the disparity between high-end corporate law firms in South Mumbai and the legal aid available to the underprivileged in the city's slums.</w:t>
      </w:r>
    </w:p>
    <w:p>
      <w:pPr>
        <w:pStyle w:val="BodyText"/>
      </w:pPr>
      <w:r>
        <w:t xml:space="preserve">The author argues that while Mumbai is home to some of the most skilled lawyers in India, the cost of their services often places justice out of reach for the average resident. This source is crucial for a balanced understanding of the legal landscape in Mumbai. It highlights the role of the lawyer not just as a commercial entity, but as a potential agent of social change through legal aid clinics and public interest litigation. It provides a realistic view of the economic barriers to legal representation in the city.</w:t>
      </w:r>
    </w:p>
    <w:p>
      <w:pPr>
        <w:pStyle w:val="BodyText"/>
      </w:pPr>
      <w:r>
        <w:t xml:space="preserve">National Law School of India University. (2020). Report on the Efficiency of the Bombay High Court. Bangalore: NLSIU Research Centre.</w:t>
      </w:r>
    </w:p>
    <w:p>
      <w:pPr>
        <w:pStyle w:val="BodyText"/>
      </w:pPr>
      <w:r>
        <w:t xml:space="preserve">This report analyzes the backlog of cases in the Bombay High Court and the impact of this delay on the practice of law in Mumbai. It suggests that the sheer volume of litigation in India's financial capital places immense pressure on lawyers and the judicial system alike.</w:t>
      </w:r>
    </w:p>
    <w:p>
      <w:pPr>
        <w:pStyle w:val="BodyText"/>
      </w:pPr>
      <w:r>
        <w:t xml:space="preserve">For a client seeking a lawyer in Mumbai, this document offers context regarding the timeline of legal proceedings. It explains that delays are often systemic rather than a result of inefficiency by individual lawyers. The report also discusses the role of technology and alternative dispute resolution mechanisms being adopted by lawyers in Mumbai to mitigate these delays. It is a key resource for understanding the practical realities of litigation in the city.</w:t>
      </w:r>
    </w:p>
    <w:bookmarkEnd w:id="24"/>
    <w:bookmarkStart w:id="25" w:name="specialized-legal-practice-in-mumbai"/>
    <w:p>
      <w:pPr>
        <w:pStyle w:val="Heading2"/>
      </w:pPr>
      <w:r>
        <w:t xml:space="preserve">Specialized Legal Practice in Mumbai</w:t>
      </w:r>
    </w:p>
    <w:p>
      <w:pPr>
        <w:pStyle w:val="FirstParagraph"/>
      </w:pPr>
      <w:r>
        <w:t xml:space="preserve">Chopra, R. (2021). Corporate Law Practice in Mumbai: Trends and Challenges. Mumbai Law Review, 8(1), 112-130.</w:t>
      </w:r>
    </w:p>
    <w:p>
      <w:pPr>
        <w:pStyle w:val="BodyText"/>
      </w:pPr>
      <w:r>
        <w:t xml:space="preserve">Given Mumbai's status as the financial hub of India, this article focuses on the specialized role of the corporate lawyer in the city. It explores how lawyers in Mumbai navigate complex regulations involving the Securities and Exchange Board of India (SEBI) and the Reserve Bank of India (RBI).</w:t>
      </w:r>
    </w:p>
    <w:p>
      <w:pPr>
        <w:pStyle w:val="BodyText"/>
      </w:pPr>
      <w:r>
        <w:t xml:space="preserve">This source is essential for understanding the high-stakes environment in which many Mumbai-based lawyers operate. It details the expertise required to handle mergers, acquisitions, and banking disputes in the city. The article illustrates that the "lawyer in Mumbai" is often a highly specialized professional dealing with multi-currency transactions and international law, distinguishing the city's legal market from other regions in India.</w:t>
      </w:r>
    </w:p>
    <w:bookmarkEnd w:id="25"/>
    <w:p>
      <w:pPr>
        <w:pStyle w:val="BodyText"/>
      </w:pPr>
      <w:r>
        <w:t xml:space="preserve">© 2023 Annotated Bibliography on Legal Practice in Mumbai. All rights reserved.</w:t>
      </w:r>
    </w:p>
    <w:p>
      <w:pPr>
        <w:pStyle w:val="BodyText"/>
      </w:pPr>
      <w:r>
        <w:t xml:space="preserve">Disclaimer: 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Mumbai, India</dc:title>
  <dc:creator/>
  <dc:language>en</dc:language>
  <cp:keywords/>
  <dcterms:created xsi:type="dcterms:W3CDTF">2026-08-07T02:14:34Z</dcterms:created>
  <dcterms:modified xsi:type="dcterms:W3CDTF">2026-08-07T02:14:34Z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