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Indonesia</w:t>
      </w:r>
      <w:r>
        <w:t xml:space="preserve"> </w:t>
      </w:r>
      <w:r>
        <w:t xml:space="preserve">Jakarta</w:t>
      </w:r>
    </w:p>
    <w:bookmarkStart w:id="24" w:name="Xafc0fe39d9749a371c5ffc108299fb7cfb794df"/>
    <w:p>
      <w:pPr>
        <w:pStyle w:val="Heading1"/>
      </w:pPr>
      <w:r>
        <w:t xml:space="preserve">Annotated Bibliography: The Legal Profession and Regulatory Framework in Indonesia Jakarta</w:t>
      </w:r>
    </w:p>
    <w:p>
      <w:pPr>
        <w:pStyle w:val="FirstParagraph"/>
      </w:pPr>
      <w:r>
        <w:rPr>
          <w:bCs/>
          <w:b/>
        </w:rPr>
        <w:t xml:space="preserve">Introduction:</w:t>
      </w:r>
      <w:r>
        <w:t xml:space="preserve"> </w:t>
      </w:r>
      <w:r>
        <w:t xml:space="preserve">This annotated bibliography compiles essential resources regarding the practice of law, the role of the lawyer, and the specific regulatory environment within Indonesia Jakarta. Jakarta serves as the central hub for legal activity in the Republic of Indonesia, hosting the Supreme Court, the Constitutional Court, and the headquarters of the Indonesian Notary Association. The following sources provide critical insights into the professional conduct, statutory obligations, and practical challenges faced by legal practitioners in this jurisdiction.</w:t>
      </w:r>
    </w:p>
    <w:bookmarkStart w:id="20" w:name="Xd47d18df03c7a6ca0f36aba599976cc1f163237"/>
    <w:p>
      <w:pPr>
        <w:pStyle w:val="Heading2"/>
      </w:pPr>
      <w:r>
        <w:t xml:space="preserve">Primary Legislation and Professional Codes</w:t>
      </w:r>
    </w:p>
    <w:p>
      <w:pPr>
        <w:pStyle w:val="FirstParagraph"/>
      </w:pPr>
      <w:r>
        <w:t xml:space="preserve">Republic of Indonesia. (2006).</w:t>
      </w:r>
      <w:r>
        <w:t xml:space="preserve"> </w:t>
      </w:r>
      <w:r>
        <w:rPr>
          <w:iCs/>
          <w:i/>
        </w:rPr>
        <w:t xml:space="preserve">Law Number 18 of 2003 Concerning Advocates and Legal Counsel</w:t>
      </w:r>
      <w:r>
        <w:t xml:space="preserve"> </w:t>
      </w:r>
      <w:r>
        <w:t xml:space="preserve">(Undang-Undang Nomor 18 Tahun 2003 tentang Advokat). Jakarta: State Secretariat of the Republic of Indonesia.</w:t>
      </w:r>
    </w:p>
    <w:p>
      <w:pPr>
        <w:pStyle w:val="BodyText"/>
      </w:pPr>
      <w:r>
        <w:t xml:space="preserve">This statute is the foundational legal instrument governing the profession of the lawyer in Indonesia. It defines the rights, duties, and privileges of advocates, establishing the legal basis for the Indonesian Advocates Association (PERADI). For legal practitioners operating in Indonesia Jakarta, this law is paramount as it outlines the requirements for obtaining a practicing license (Surat Tanda Registrasi). The text is essential for understanding the statutory independence of the lawyer and the mechanisms for disciplinary action. It serves as the primary reference for any legal professional navigating the regulatory landscape of the capital city.</w:t>
      </w:r>
    </w:p>
    <w:p>
      <w:pPr>
        <w:pStyle w:val="BodyText"/>
      </w:pPr>
      <w:r>
        <w:t xml:space="preserve">Indonesian Advocates Association (PERADI). (2014).</w:t>
      </w:r>
      <w:r>
        <w:t xml:space="preserve"> </w:t>
      </w:r>
      <w:r>
        <w:rPr>
          <w:iCs/>
          <w:i/>
        </w:rPr>
        <w:t xml:space="preserve">Code of Professional Ethics for Advocates</w:t>
      </w:r>
      <w:r>
        <w:t xml:space="preserve"> </w:t>
      </w:r>
      <w:r>
        <w:t xml:space="preserve">(Kode Etik dan Tata Tertib Advokat). Jakarta: PERADI Headquarters.</w:t>
      </w:r>
    </w:p>
    <w:p>
      <w:pPr>
        <w:pStyle w:val="BodyText"/>
      </w:pPr>
      <w:r>
        <w:t xml:space="preserve">While the 2003 Law provides the statutory framework, this document details the ethical obligations of the lawyer. Given the high volume of commercial litigation and corporate transactions in Indonesia Jakarta, adherence to this code is critical for maintaining professional integrity. The document covers client confidentiality, conflict of interest, and fee structures. It is a mandatory resource for all advocates registered in Jakarta, providing the ethical compass necessary for navigating complex legal relationships within the bustling legal market of the capital.</w:t>
      </w:r>
    </w:p>
    <w:bookmarkEnd w:id="20"/>
    <w:bookmarkStart w:id="21" w:name="X00882848462737d758ba954cd167de914117eb6"/>
    <w:p>
      <w:pPr>
        <w:pStyle w:val="Heading2"/>
      </w:pPr>
      <w:r>
        <w:t xml:space="preserve">Legal Practice and Corporate Law in Jakarta</w:t>
      </w:r>
    </w:p>
    <w:p>
      <w:pPr>
        <w:pStyle w:val="FirstParagraph"/>
      </w:pPr>
      <w:r>
        <w:t xml:space="preserve">Arifin, A. (2018).</w:t>
      </w:r>
      <w:r>
        <w:t xml:space="preserve"> </w:t>
      </w:r>
      <w:r>
        <w:rPr>
          <w:iCs/>
          <w:i/>
        </w:rPr>
        <w:t xml:space="preserve">Corporate Law Practice in Indonesia: A Guide for Foreign and Domestic Investors</w:t>
      </w:r>
      <w:r>
        <w:t xml:space="preserve">. Jakarta: PT Gramedia Pustaka Utama.</w:t>
      </w:r>
    </w:p>
    <w:p>
      <w:pPr>
        <w:pStyle w:val="BodyText"/>
      </w:pPr>
      <w:r>
        <w:t xml:space="preserve">This text offers a comprehensive analysis of corporate legal structures in Indonesia, with a specific focus on the business environment in Indonesia Jakarta. As the economic center of the nation, Jakarta is the primary location for foreign direct investment and major corporate mergers. The author, a seasoned lawyer, explains the intricacies of establishing limited liability companies (PT) and navigating the Investment Coordinating Board (BKPM). This resource is invaluable for lawyers advising international clients on market entry strategies and regulatory compliance within the Jakarta metropolitan area.</w:t>
      </w:r>
    </w:p>
    <w:p>
      <w:pPr>
        <w:pStyle w:val="BodyText"/>
      </w:pPr>
      <w:r>
        <w:t xml:space="preserve">Legalitas Indonesia. (2021).</w:t>
      </w:r>
      <w:r>
        <w:t xml:space="preserve"> </w:t>
      </w:r>
      <w:r>
        <w:rPr>
          <w:iCs/>
          <w:i/>
        </w:rPr>
        <w:t xml:space="preserve">The Role of the Lawyer in Indonesian Dispute Resolution: Litigation vs. Arbitration</w:t>
      </w:r>
      <w:r>
        <w:t xml:space="preserve">. Jakarta: Legalitas Publishing.</w:t>
      </w:r>
    </w:p>
    <w:p>
      <w:pPr>
        <w:pStyle w:val="BodyText"/>
      </w:pPr>
      <w:r>
        <w:t xml:space="preserve">Dispute resolution is a significant aspect of legal practice in Indonesia Jakarta, where the court system faces high caseloads. This publication examines the strategic choices available to a lawyer when representing clients in commercial disputes. It compares the efficiency of the state court system in Jakarta against the Indonesia National Arbitration Board (BANI). The text highlights the growing preference for arbitration in international trade cases handled in the capital. It provides practical insights for lawyers seeking to optimize case management and client outcomes in a congested judicial environment.</w:t>
      </w:r>
    </w:p>
    <w:bookmarkEnd w:id="21"/>
    <w:bookmarkStart w:id="22" w:name="X657734373e37c59344115fb8d624f70447cca2b"/>
    <w:p>
      <w:pPr>
        <w:pStyle w:val="Heading2"/>
      </w:pPr>
      <w:r>
        <w:t xml:space="preserve">Regulatory Bodies and Institutional Framework</w:t>
      </w:r>
    </w:p>
    <w:p>
      <w:pPr>
        <w:pStyle w:val="FirstParagraph"/>
      </w:pPr>
      <w:r>
        <w:t xml:space="preserve">Supreme Court of the Republic of Indonesia. (2020).</w:t>
      </w:r>
      <w:r>
        <w:t xml:space="preserve"> </w:t>
      </w:r>
      <w:r>
        <w:rPr>
          <w:iCs/>
          <w:i/>
        </w:rPr>
        <w:t xml:space="preserve">Annual Report on Judicial Statistics and Case Management</w:t>
      </w:r>
      <w:r>
        <w:t xml:space="preserve">. Jakarta: Supreme Court Secretariat.</w:t>
      </w:r>
    </w:p>
    <w:p>
      <w:pPr>
        <w:pStyle w:val="BodyText"/>
      </w:pPr>
      <w:r>
        <w:t xml:space="preserve">This official report provides data-driven insights into the operations of the judiciary in Indonesia Jakarta. For a lawyer, understanding the statistical trends of case resolution times and backlog levels is crucial for setting realistic expectations with clients. The report details the performance of the Jakarta Central District Court and the Jakarta High Court. It serves as an empirical resource for legal scholars and practitioners analyzing the efficiency of the judicial system in the capital and identifying areas where legal reform is necessary to support the profession.</w:t>
      </w:r>
    </w:p>
    <w:p>
      <w:pPr>
        <w:pStyle w:val="BodyText"/>
      </w:pPr>
      <w:r>
        <w:t xml:space="preserve">Ministry of Law and Human Rights. (2019).</w:t>
      </w:r>
      <w:r>
        <w:t xml:space="preserve"> </w:t>
      </w:r>
      <w:r>
        <w:rPr>
          <w:iCs/>
          <w:i/>
        </w:rPr>
        <w:t xml:space="preserve">Regulation on the Establishment of Law Firms and Legal Consultancies</w:t>
      </w:r>
      <w:r>
        <w:t xml:space="preserve">. Jakarta: Ministry of Law and Human Rights.</w:t>
      </w:r>
    </w:p>
    <w:p>
      <w:pPr>
        <w:pStyle w:val="BodyText"/>
      </w:pPr>
      <w:r>
        <w:t xml:space="preserve">This regulation outlines the administrative requirements for establishing a law firm in Indonesia Jakarta. It distinguishes between traditional law firms and legal consultancies, clarifying the scope of practice for each. For aspiring lawyers and partners looking to expand their practice in the capital, this document is a practical guide to compliance. It addresses licensing, office location requirements, and the registration process with local authorities in Jakarta. It is essential reading for ensuring that a legal practice operates within the bounds of administrative law.</w:t>
      </w:r>
    </w:p>
    <w:bookmarkEnd w:id="22"/>
    <w:bookmarkStart w:id="23" w:name="challenges-and-future-directions"/>
    <w:p>
      <w:pPr>
        <w:pStyle w:val="Heading2"/>
      </w:pPr>
      <w:r>
        <w:t xml:space="preserve">Challenges and Future Directions</w:t>
      </w:r>
    </w:p>
    <w:p>
      <w:pPr>
        <w:pStyle w:val="FirstParagraph"/>
      </w:pPr>
      <w:r>
        <w:t xml:space="preserve">Wijaya, S. (2022).</w:t>
      </w:r>
      <w:r>
        <w:t xml:space="preserve"> </w:t>
      </w:r>
      <w:r>
        <w:rPr>
          <w:iCs/>
          <w:i/>
        </w:rPr>
        <w:t xml:space="preserve">Challenges Facing the Legal Profession in Modern Indonesia</w:t>
      </w:r>
      <w:r>
        <w:t xml:space="preserve">. Jakarta: University of Indonesia Press.</w:t>
      </w:r>
    </w:p>
    <w:p>
      <w:pPr>
        <w:pStyle w:val="BodyText"/>
      </w:pPr>
      <w:r>
        <w:t xml:space="preserve">This academic work critically examines the contemporary challenges faced by the lawyer in Indonesia Jakarta, including issues of corruption, access to justice, and the impact of digitalization on legal services. The author argues that while Jakarta offers the most opportunities for legal specialization, it also presents the most significant ethical dilemmas. The text explores the tension between commercial success and public service. It is a thought-provoking resource for legal educators and practitioners interested in the sociological and ethical dimensions of practicing law in Indonesia's capital city.</w:t>
      </w:r>
    </w:p>
    <w:p>
      <w:pPr>
        <w:pStyle w:val="BodyText"/>
      </w:pPr>
      <w:r>
        <w:t xml:space="preserve">International Bar Association (IBA). (2023).</w:t>
      </w:r>
      <w:r>
        <w:t xml:space="preserve"> </w:t>
      </w:r>
      <w:r>
        <w:rPr>
          <w:iCs/>
          <w:i/>
        </w:rPr>
        <w:t xml:space="preserve">Report on the Rule of Law in Southeast Asia: Focus on Indonesia</w:t>
      </w:r>
      <w:r>
        <w:t xml:space="preserve">. Jakarta: IBA Regional Office.</w:t>
      </w:r>
    </w:p>
    <w:p>
      <w:pPr>
        <w:pStyle w:val="BodyText"/>
      </w:pPr>
      <w:r>
        <w:t xml:space="preserve">This international report provides an external perspective on the legal environment in Indonesia Jakarta. It assesses the independence of the judiciary and the professional standards of the lawyer compared to global benchmarks. The report highlights the progress made in legal reforms while noting persistent challenges in enforcement. For lawyers in Jakarta dealing with cross-border transactions, this document offers valuable context on how international partners perceive the Indonesian legal system. It underscores the importance of maintaining high professional standards to enhance the global reputation of the legal profession in Indonesia.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Indonesia Jakarta</dc:title>
  <dc:creator/>
  <dc:language>en</dc:language>
  <cp:keywords/>
  <dcterms:created xsi:type="dcterms:W3CDTF">2026-08-07T14:49:12Z</dcterms:created>
  <dcterms:modified xsi:type="dcterms:W3CDTF">2026-08-07T14:49:12Z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