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Legal Practice, Lawyer Representation, and Jurisprudence in Tehran, Iran</w:t>
      </w:r>
    </w:p>
    <w:bookmarkEnd w:id="20"/>
    <w:p>
      <w:pPr>
        <w:pStyle w:val="BodyText"/>
      </w:pPr>
      <w:r>
        <w:t xml:space="preserve">The legal landscape of Iran, specifically within its capital city of Tehran, presents a complex intersection of civil law traditions, Islamic jurisprudence (Sharia), and modern statutory regulations. For any individual or entity seeking the services of a lawyer in Tehran, understanding the foundational texts that govern the Iranian legal system is paramount. This annotated bibliography compiles essential resources regarding the role of the lawyer, the structure of the judiciary, and the specific legal environment of Tehran. These sources provide critical insight into how legal professionals operate within the constraints and frameworks of the Islamic Republic of Iran.</w:t>
      </w:r>
    </w:p>
    <w:bookmarkStart w:id="23" w:name="foundational-legal-frameworks"/>
    <w:p>
      <w:pPr>
        <w:pStyle w:val="Heading2"/>
      </w:pPr>
      <w:r>
        <w:t xml:space="preserve">Foundational Legal Frameworks</w:t>
      </w:r>
    </w:p>
    <w:bookmarkStart w:id="21" w:name="Xc0228cd81a6c9b2f213a8353f81a83be017f740"/>
    <w:p>
      <w:pPr>
        <w:pStyle w:val="Heading3"/>
      </w:pPr>
      <w:r>
        <w:t xml:space="preserve">1. The Constitution of the Islamic Republic of Iran</w:t>
      </w:r>
    </w:p>
    <w:p>
      <w:pPr>
        <w:pStyle w:val="FirstParagraph"/>
      </w:pPr>
      <w:r>
        <w:t xml:space="preserve">The Constitution of the Islamic Republic of Iran. (1979, amended 1989). Tehran: Official Gazette of the Islamic Republic of Iran.</w:t>
      </w:r>
    </w:p>
    <w:p>
      <w:pPr>
        <w:pStyle w:val="BodyText"/>
      </w:pPr>
      <w:r>
        <w:t xml:space="preserve">This document serves as the supreme law of the land and is the primary reference for any lawyer practicing in Tehran. It outlines the structure of the government, the separation of powers, and the fundamental rights of citizens. Specifically, Articles 166 through 172 detail the organization of the judiciary, while Article 35 guarantees the right to defense and the right to choose a lawyer. For a legal practitioner in Tehran, this text is indispensable for understanding the constitutional limits of state power and the procedural rights afforded to clients in both civil and criminal matters. It establishes the theoretical basis for the independence of the judiciary, a concept that lawyers must navigate carefully within the Iranian context.</w:t>
      </w:r>
    </w:p>
    <w:bookmarkEnd w:id="21"/>
    <w:bookmarkStart w:id="22" w:name="the-civil-procedure-code-of-iran"/>
    <w:p>
      <w:pPr>
        <w:pStyle w:val="Heading3"/>
      </w:pPr>
      <w:r>
        <w:t xml:space="preserve">2. The Civil Procedure Code of Iran</w:t>
      </w:r>
    </w:p>
    <w:p>
      <w:pPr>
        <w:pStyle w:val="FirstParagraph"/>
      </w:pPr>
      <w:r>
        <w:t xml:space="preserve">Civil Procedure Code of the Islamic Republic of Iran. (1967, revised 2000). Tehran: Ministry of Justice and Security Services.</w:t>
      </w:r>
    </w:p>
    <w:p>
      <w:pPr>
        <w:pStyle w:val="BodyText"/>
      </w:pPr>
      <w:r>
        <w:t xml:space="preserve">The Civil Procedure Code is the operational manual for lawyers handling non-criminal disputes in Tehran. It governs the rules of litigation, including filing lawsuits, evidence submission, court hearings, and appeals. Given the high volume of commercial and property disputes in Tehran, this code is frequently utilized by legal professionals. It details the jurisdiction of various courts within the capital, such as the General Courts and the Revolutionary Courts. Understanding the procedural nuances outlined here is essential for a lawyer to effectively represent a client, ensuring that filings meet the strict formal requirements of the Iranian judiciary and avoiding procedural dismissals.</w:t>
      </w:r>
    </w:p>
    <w:bookmarkEnd w:id="22"/>
    <w:bookmarkEnd w:id="23"/>
    <w:bookmarkStart w:id="26" w:name="professional-regulation-and-ethics"/>
    <w:p>
      <w:pPr>
        <w:pStyle w:val="Heading2"/>
      </w:pPr>
      <w:r>
        <w:t xml:space="preserve">Professional Regulation and Ethics</w:t>
      </w:r>
    </w:p>
    <w:bookmarkStart w:id="24" w:name="X6ac101b98d1d5c9f01c3912c35572fc3466731d"/>
    <w:p>
      <w:pPr>
        <w:pStyle w:val="Heading3"/>
      </w:pPr>
      <w:r>
        <w:t xml:space="preserve">3. The Law on the Organization of the Bar Association</w:t>
      </w:r>
    </w:p>
    <w:p>
      <w:pPr>
        <w:pStyle w:val="FirstParagraph"/>
      </w:pPr>
      <w:r>
        <w:t xml:space="preserve">Law on the Organization of the Bar Association of the Islamic Republic of Iran. (2002). Tehran: Islamic Consultative Assembly.</w:t>
      </w:r>
    </w:p>
    <w:p>
      <w:pPr>
        <w:pStyle w:val="BodyText"/>
      </w:pPr>
      <w:r>
        <w:t xml:space="preserve">This legislation is critical for understanding the professional status of a lawyer in Iran. It established the Independent Bar Association of Iran, which regulates the admission, discipline, and ethical conduct of lawyers. For those seeking legal representation in Tehran, this law defines the qualifications required to practice. It outlines the rights of lawyers, such as immunity from arrest during court sessions, and their obligations to the court and clients. This source is vital for analyzing the relationship between the legal profession and the state, highlighting the mechanisms through which the Bar Association in Tehran advocates for the rights of its members while adhering to national regulations.</w:t>
      </w:r>
    </w:p>
    <w:bookmarkEnd w:id="24"/>
    <w:bookmarkStart w:id="25" w:name="the-code-of-ethics-for-lawyers"/>
    <w:p>
      <w:pPr>
        <w:pStyle w:val="Heading3"/>
      </w:pPr>
      <w:r>
        <w:t xml:space="preserve">4. The Code of Ethics for Lawyers</w:t>
      </w:r>
    </w:p>
    <w:p>
      <w:pPr>
        <w:pStyle w:val="FirstParagraph"/>
      </w:pPr>
      <w:r>
        <w:t xml:space="preserve">Code of Ethics for Lawyers of the Islamic Republic of Iran. (2003). Tehran: Supreme Council of the Bar Association.</w:t>
      </w:r>
    </w:p>
    <w:p>
      <w:pPr>
        <w:pStyle w:val="BodyText"/>
      </w:pPr>
      <w:r>
        <w:t xml:space="preserve">This document codifies the professional standards expected of legal practitioners in Tehran. It covers issues of confidentiality, conflict of interest, fee structures, and professional demeanor. For a client in Tehran, this code provides a framework for evaluating the conduct of their lawyer. It emphasizes the duty of the lawyer to uphold justice and the rule of law within the Islamic framework. The code is particularly relevant in Tehran's competitive legal market, where adherence to ethical standards distinguishes reputable firms from unregulated practitioners. It serves as a disciplinary tool for the Bar Association when addressing grievances against lawyers.</w:t>
      </w:r>
    </w:p>
    <w:bookmarkEnd w:id="25"/>
    <w:bookmarkEnd w:id="26"/>
    <w:bookmarkStart w:id="29" w:name="substantive-law-and-jurisprudence"/>
    <w:p>
      <w:pPr>
        <w:pStyle w:val="Heading2"/>
      </w:pPr>
      <w:r>
        <w:t xml:space="preserve">Substantive Law and Jurisprudence</w:t>
      </w:r>
    </w:p>
    <w:bookmarkStart w:id="27" w:name="the-civil-code-of-iran"/>
    <w:p>
      <w:pPr>
        <w:pStyle w:val="Heading3"/>
      </w:pPr>
      <w:r>
        <w:t xml:space="preserve">5. The Civil Code of Iran</w:t>
      </w:r>
    </w:p>
    <w:p>
      <w:pPr>
        <w:pStyle w:val="FirstParagraph"/>
      </w:pPr>
      <w:r>
        <w:t xml:space="preserve">Civil Code of the Islamic Republic of Iran. (1928-1935). Tehran: Ministry of Justice.</w:t>
      </w:r>
    </w:p>
    <w:p>
      <w:pPr>
        <w:pStyle w:val="BodyText"/>
      </w:pPr>
      <w:r>
        <w:t xml:space="preserve">The Civil Code is the cornerstone of private law in Iran, heavily influenced by the Ja'fari school of Islamic jurisprudence. It governs contracts, property rights, family law, and inheritance. For a lawyer in Tehran dealing with real estate transactions, commercial contracts, or family disputes, this code is the primary source of substantive law. It provides the legal definitions and principles that courts in Tehran apply to resolve civil conflicts. The code's integration of religious principles with civil law concepts requires a specialized understanding from legal practitioners to interpret provisions accurately in modern contexts.</w:t>
      </w:r>
    </w:p>
    <w:bookmarkEnd w:id="27"/>
    <w:bookmarkStart w:id="28" w:name="the-islamic-penal-code-of-iran"/>
    <w:p>
      <w:pPr>
        <w:pStyle w:val="Heading3"/>
      </w:pPr>
      <w:r>
        <w:t xml:space="preserve">6. The Islamic Penal Code of Iran</w:t>
      </w:r>
    </w:p>
    <w:p>
      <w:pPr>
        <w:pStyle w:val="FirstParagraph"/>
      </w:pPr>
      <w:r>
        <w:t xml:space="preserve">Islamic Penal Code of the Islamic Republic of Iran. (2013). Tehran: Islamic Consultative Assembly.</w:t>
      </w:r>
    </w:p>
    <w:p>
      <w:pPr>
        <w:pStyle w:val="BodyText"/>
      </w:pPr>
      <w:r>
        <w:t xml:space="preserve">This comprehensive code consolidates criminal laws in Iran, categorizing offenses into Hudud, Qisas, Diyya, and Ta'zir. It is essential for criminal defense lawyers in Tehran, as it defines crimes and their corresponding punishments. The code reflects the religious foundations of the state's criminal justice system. For legal professionals, it is crucial for understanding the procedural and substantive defenses available to clients. The 2013 revision introduced some modernizations, but the code remains a complex document that requires deep expertise to navigate, particularly in high-profile cases within Tehran's courts.</w:t>
      </w:r>
    </w:p>
    <w:bookmarkEnd w:id="28"/>
    <w:bookmarkEnd w:id="29"/>
    <w:bookmarkStart w:id="32" w:name="contextual-and-academic-analysis"/>
    <w:p>
      <w:pPr>
        <w:pStyle w:val="Heading2"/>
      </w:pPr>
      <w:r>
        <w:t xml:space="preserve">Contextual and Academic Analysis</w:t>
      </w:r>
    </w:p>
    <w:bookmarkStart w:id="30" w:name="human-rights-and-the-rule-of-law-in-iran"/>
    <w:p>
      <w:pPr>
        <w:pStyle w:val="Heading3"/>
      </w:pPr>
      <w:r>
        <w:t xml:space="preserve">7. Human Rights and the Rule of Law in Iran</w:t>
      </w:r>
    </w:p>
    <w:p>
      <w:pPr>
        <w:pStyle w:val="FirstParagraph"/>
      </w:pPr>
      <w:r>
        <w:t xml:space="preserve">Sadri, A., &amp; Sadri, A. (2014).</w:t>
      </w:r>
      <w:r>
        <w:t xml:space="preserve"> </w:t>
      </w:r>
      <w:r>
        <w:rPr>
          <w:iCs/>
          <w:i/>
        </w:rPr>
        <w:t xml:space="preserve">Human Rights and the Rule of Law in Iran: A Comparative Constitutional Analysis</w:t>
      </w:r>
      <w:r>
        <w:t xml:space="preserve">. London: Routledge.</w:t>
      </w:r>
    </w:p>
    <w:p>
      <w:pPr>
        <w:pStyle w:val="BodyText"/>
      </w:pPr>
      <w:r>
        <w:t xml:space="preserve">This academic work provides a critical analysis of the challenges faced by lawyers and the judiciary in Iran. It examines the tension between international human rights standards and domestic legal practices. For a lawyer in Tehran, this text offers valuable context on the broader socio-political environment in which they operate. It discusses the limitations on legal defense in political cases and the role of the judiciary in maintaining state security. This source is useful for understanding the external pressures and internal constraints that shape legal practice in the capital, providing a nuanced view of the profession beyond statutory texts.</w:t>
      </w:r>
    </w:p>
    <w:bookmarkEnd w:id="30"/>
    <w:bookmarkStart w:id="31" w:name="Xc7586b6bc60901ebb20dab17426617693fb4822"/>
    <w:p>
      <w:pPr>
        <w:pStyle w:val="Heading3"/>
      </w:pPr>
      <w:r>
        <w:t xml:space="preserve">8. Commercial Law and Foreign Investment in Iran</w:t>
      </w:r>
    </w:p>
    <w:p>
      <w:pPr>
        <w:pStyle w:val="FirstParagraph"/>
      </w:pPr>
      <w:r>
        <w:t xml:space="preserve">Keshavarz, M. (2018).</w:t>
      </w:r>
      <w:r>
        <w:t xml:space="preserve"> </w:t>
      </w:r>
      <w:r>
        <w:rPr>
          <w:iCs/>
          <w:i/>
        </w:rPr>
        <w:t xml:space="preserve">Doing Business in Iran: Legal and Regulatory Framework</w:t>
      </w:r>
      <w:r>
        <w:t xml:space="preserve">. Tehran: Iranian Chamber of Commerce.</w:t>
      </w:r>
    </w:p>
    <w:p>
      <w:pPr>
        <w:pStyle w:val="BodyText"/>
      </w:pPr>
      <w:r>
        <w:t xml:space="preserve">As Tehran is the economic hub of Iran, this resource is vital for lawyers specializing in corporate and commercial law. It outlines the regulations governing foreign investment, joint ventures, and commercial disputes. The text addresses the legal mechanisms available for resolving business conflicts in Tehran's commercial courts. It provides practical guidance on navigating the bureaucratic and legal landscape for international clients. For a lawyer advising foreign entities, this document is an essential reference for understanding the intersection of commercial interests and Iranian legal requirements.</w:t>
      </w:r>
    </w:p>
    <w:p>
      <w:pPr>
        <w:pStyle w:val="BodyText"/>
      </w:pPr>
      <w:r>
        <w:t xml:space="preserve">© 2023 Annotated Bibliography on Legal Practice in Tehran.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Tehran, Iran</dc:title>
  <dc:creator/>
  <dc:language>en</dc:language>
  <cp:keywords/>
  <dcterms:created xsi:type="dcterms:W3CDTF">2026-08-07T03:44:38Z</dcterms:created>
  <dcterms:modified xsi:type="dcterms:W3CDTF">2026-08-07T03:44:38Z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