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Legal</w:t>
      </w:r>
      <w:r>
        <w:t xml:space="preserve"> </w:t>
      </w:r>
      <w:r>
        <w:t xml:space="preserve">Practice</w:t>
      </w:r>
      <w:r>
        <w:t xml:space="preserve"> </w:t>
      </w:r>
      <w:r>
        <w:t xml:space="preserve">and</w:t>
      </w:r>
      <w:r>
        <w:t xml:space="preserve"> </w:t>
      </w:r>
      <w:r>
        <w:t xml:space="preserve">the</w:t>
      </w:r>
      <w:r>
        <w:t xml:space="preserve"> </w:t>
      </w:r>
      <w:r>
        <w:t xml:space="preserve">Lawyer</w:t>
      </w:r>
      <w:r>
        <w:t xml:space="preserve"> </w:t>
      </w:r>
      <w:r>
        <w:t xml:space="preserve">in</w:t>
      </w:r>
      <w:r>
        <w:t xml:space="preserve"> </w:t>
      </w:r>
      <w:r>
        <w:t xml:space="preserve">Iraq</w:t>
      </w:r>
      <w:r>
        <w:t xml:space="preserve"> </w:t>
      </w:r>
      <w:r>
        <w:t xml:space="preserve">Baghdad</w:t>
      </w:r>
    </w:p>
    <w:bookmarkStart w:id="21" w:name="annotated-bibliography"/>
    <w:p>
      <w:pPr>
        <w:pStyle w:val="Heading1"/>
      </w:pPr>
      <w:r>
        <w:t xml:space="preserve">Annotated Bibliography</w:t>
      </w:r>
    </w:p>
    <w:bookmarkStart w:id="20" w:name="Xa86049a1f0ab9b18edc4cfd2d5fb6d615e093f1"/>
    <w:p>
      <w:pPr>
        <w:pStyle w:val="Heading2"/>
      </w:pPr>
      <w:r>
        <w:t xml:space="preserve">Legal Frameworks, Professional Ethics, and the Role of the Lawyer in Iraq Baghdad</w:t>
      </w:r>
    </w:p>
    <w:p>
      <w:pPr>
        <w:pStyle w:val="FirstParagraph"/>
      </w:pPr>
      <w:r>
        <w:t xml:space="preserve">The following annotated bibliography compiles essential resources regarding the legal profession within the Republic of Iraq, with a specific focus on the capital city of Baghdad. The role of the</w:t>
      </w:r>
      <w:r>
        <w:t xml:space="preserve"> </w:t>
      </w:r>
      <w:r>
        <w:t xml:space="preserve">Lawyer</w:t>
      </w:r>
      <w:r>
        <w:t xml:space="preserve"> </w:t>
      </w:r>
      <w:r>
        <w:t xml:space="preserve">in</w:t>
      </w:r>
      <w:r>
        <w:t xml:space="preserve"> </w:t>
      </w:r>
      <w:r>
        <w:t xml:space="preserve">Iraq Baghdad</w:t>
      </w:r>
      <w:r>
        <w:t xml:space="preserve"> </w:t>
      </w:r>
      <w:r>
        <w:t xml:space="preserve">is multifaceted, requiring a deep understanding of the Iraqi Constitution, civil codes, and the evolving landscape of human rights and commercial law. These sources provide a comprehensive overview of the statutory obligations, ethical standards, and practical challenges faced by legal practitioners operating in the Iraqi judicial system.</w:t>
      </w:r>
    </w:p>
    <w:p>
      <w:pPr>
        <w:pStyle w:val="BodyText"/>
      </w:pPr>
      <w:r>
        <w:t xml:space="preserve"> </w:t>
      </w:r>
      <w:r>
        <w:t xml:space="preserve">The Republic of Iraq. (2005). The Constitution of the Republic of Iraq. Official Gazette of the Republic of Iraq.</w:t>
      </w:r>
      <w:r>
        <w:t xml:space="preserve"> </w:t>
      </w:r>
    </w:p>
    <w:p>
      <w:pPr>
        <w:pStyle w:val="BodyText"/>
      </w:pPr>
      <w:r>
        <w:t xml:space="preserve">This primary source serves as the supreme law of the land and is the foundational text for every</w:t>
      </w:r>
      <w:r>
        <w:t xml:space="preserve"> </w:t>
      </w:r>
      <w:r>
        <w:t xml:space="preserve">Lawyer</w:t>
      </w:r>
      <w:r>
        <w:t xml:space="preserve"> </w:t>
      </w:r>
      <w:r>
        <w:t xml:space="preserve">practicing in</w:t>
      </w:r>
      <w:r>
        <w:t xml:space="preserve"> </w:t>
      </w:r>
      <w:r>
        <w:t xml:space="preserve">Iraq Baghdad</w:t>
      </w:r>
      <w:r>
        <w:t xml:space="preserve">. The Constitution establishes the separation of powers, guarantees fundamental rights, and outlines the structure of the judiciary. For legal practitioners in Baghdad, this document is critical for constitutional litigation and for arguing cases involving civil liberties, property rights, and administrative justice. It defines the legal environment in which the Iraqi bar operates, ensuring that all statutory laws align with these supreme principles.</w:t>
      </w:r>
    </w:p>
    <w:p>
      <w:pPr>
        <w:pStyle w:val="BodyText"/>
      </w:pPr>
      <w:r>
        <w:t xml:space="preserve"> </w:t>
      </w:r>
      <w:r>
        <w:t xml:space="preserve">Iraqi Ministry of Justice. (2015). Law No. 27 of 2015 on the Iraqi Bar Association. Official Gazette of the Republic of Iraq.</w:t>
      </w:r>
      <w:r>
        <w:t xml:space="preserve"> </w:t>
      </w:r>
    </w:p>
    <w:p>
      <w:pPr>
        <w:pStyle w:val="BodyText"/>
      </w:pPr>
      <w:r>
        <w:t xml:space="preserve">This legislation is the governing statute for the legal profession in Iraq. It details the requirements for admission to the bar, the structure of the Iraqi Bar Association, and the disciplinary procedures applicable to members. For a</w:t>
      </w:r>
      <w:r>
        <w:t xml:space="preserve"> </w:t>
      </w:r>
      <w:r>
        <w:t xml:space="preserve">Lawyer</w:t>
      </w:r>
      <w:r>
        <w:t xml:space="preserve"> </w:t>
      </w:r>
      <w:r>
        <w:t xml:space="preserve">in</w:t>
      </w:r>
      <w:r>
        <w:t xml:space="preserve"> </w:t>
      </w:r>
      <w:r>
        <w:t xml:space="preserve">Iraq Baghdad</w:t>
      </w:r>
      <w:r>
        <w:t xml:space="preserve">, this law is indispensable as it regulates professional conduct, client confidentiality, and conflict of interest. It also establishes the Baghdad Bar Association as a key entity for the regulation and support of legal practitioners in the capital, ensuring a standardized level of professional competence.</w:t>
      </w:r>
    </w:p>
    <w:p>
      <w:pPr>
        <w:pStyle w:val="BodyText"/>
      </w:pPr>
      <w:r>
        <w:t xml:space="preserve"> </w:t>
      </w:r>
      <w:r>
        <w:t xml:space="preserve">Al-Ani, S. (2018). Civil Procedure in the Iraqi Legal System: A Practical Guide. Baghdad: Dar Al-Hikma Publishing.</w:t>
      </w:r>
      <w:r>
        <w:t xml:space="preserve"> </w:t>
      </w:r>
    </w:p>
    <w:p>
      <w:pPr>
        <w:pStyle w:val="BodyText"/>
      </w:pPr>
      <w:r>
        <w:t xml:space="preserve">This text provides a detailed analysis of the procedural rules that govern civil courts in Iraq. Given that Baghdad hosts the highest concentration of civil litigation in the country, this resource is vital for any</w:t>
      </w:r>
      <w:r>
        <w:t xml:space="preserve"> </w:t>
      </w:r>
      <w:r>
        <w:t xml:space="preserve">Lawyer</w:t>
      </w:r>
      <w:r>
        <w:t xml:space="preserve"> </w:t>
      </w:r>
      <w:r>
        <w:t xml:space="preserve">handling commercial disputes, family law, or property claims. The author breaks down the complex filing requirements, evidence submission protocols, and appeal processes specific to Iraqi courts. It offers practical insights into navigating the bureaucratic hurdles often encountered in Baghdad's judicial districts.</w:t>
      </w:r>
    </w:p>
    <w:p>
      <w:pPr>
        <w:pStyle w:val="BodyText"/>
      </w:pPr>
      <w:r>
        <w:t xml:space="preserve"> </w:t>
      </w:r>
      <w:r>
        <w:t xml:space="preserve">Human Rights Watch. (2020). "Iraq: Justice System Reforms Needed." World Report 2020. New York: HRW Publications.</w:t>
      </w:r>
      <w:r>
        <w:t xml:space="preserve"> </w:t>
      </w:r>
    </w:p>
    <w:p>
      <w:pPr>
        <w:pStyle w:val="BodyText"/>
      </w:pPr>
      <w:r>
        <w:t xml:space="preserve">This report offers an external, critical perspective on the state of the judiciary in Iraq. It highlights systemic issues such as political interference, delays in trials, and challenges in protecting the rights of the accused. For a</w:t>
      </w:r>
      <w:r>
        <w:t xml:space="preserve"> </w:t>
      </w:r>
      <w:r>
        <w:t xml:space="preserve">Lawyer</w:t>
      </w:r>
      <w:r>
        <w:t xml:space="preserve"> </w:t>
      </w:r>
      <w:r>
        <w:t xml:space="preserve">in</w:t>
      </w:r>
      <w:r>
        <w:t xml:space="preserve"> </w:t>
      </w:r>
      <w:r>
        <w:t xml:space="preserve">Iraq Baghdad</w:t>
      </w:r>
      <w:r>
        <w:t xml:space="preserve">, this document is crucial for understanding the broader context of human rights advocacy. It provides data and case studies that can be used to support arguments for judicial reform and to protect clients against potential miscarriages of justice within the capital's court system.</w:t>
      </w:r>
    </w:p>
    <w:p>
      <w:pPr>
        <w:pStyle w:val="BodyText"/>
      </w:pPr>
      <w:r>
        <w:t xml:space="preserve"> </w:t>
      </w:r>
      <w:r>
        <w:t xml:space="preserve">The Iraqi Penal Code. (1969, amended 2019). Law No. 111 of 1969. Official Gazette of the Republic of Iraq.</w:t>
      </w:r>
      <w:r>
        <w:t xml:space="preserve"> </w:t>
      </w:r>
    </w:p>
    <w:p>
      <w:pPr>
        <w:pStyle w:val="BodyText"/>
      </w:pPr>
      <w:r>
        <w:t xml:space="preserve">The Penal Code is the primary source of criminal law in Iraq. It defines criminal offenses and prescribes punishments. For criminal defense</w:t>
      </w:r>
      <w:r>
        <w:t xml:space="preserve"> </w:t>
      </w:r>
      <w:r>
        <w:t xml:space="preserve">Lawyers</w:t>
      </w:r>
      <w:r>
        <w:t xml:space="preserve"> </w:t>
      </w:r>
      <w:r>
        <w:t xml:space="preserve">in</w:t>
      </w:r>
      <w:r>
        <w:t xml:space="preserve"> </w:t>
      </w:r>
      <w:r>
        <w:t xml:space="preserve">Iraq Baghdad</w:t>
      </w:r>
      <w:r>
        <w:t xml:space="preserve">, a thorough knowledge of this code is mandatory. The text covers a wide range of crimes, from theft and assault to corruption and terrorism-related offenses. Recent amendments have introduced new provisions regarding cybercrime and organized crime, making it essential for practitioners in Baghdad to stay updated on these changes to effectively represent their clients in criminal proceedings.</w:t>
      </w:r>
    </w:p>
    <w:p>
      <w:pPr>
        <w:pStyle w:val="BodyText"/>
      </w:pPr>
      <w:r>
        <w:t xml:space="preserve"> </w:t>
      </w:r>
      <w:r>
        <w:t xml:space="preserve">Al-Saffar, H. (2019). Commercial Law and Investment in Iraq. Baghdad: University of Baghdad Press.</w:t>
      </w:r>
      <w:r>
        <w:t xml:space="preserve"> </w:t>
      </w:r>
    </w:p>
    <w:p>
      <w:pPr>
        <w:pStyle w:val="BodyText"/>
      </w:pPr>
      <w:r>
        <w:t xml:space="preserve">As Baghdad serves as the economic hub of Iraq, this book is a key resource for corporate</w:t>
      </w:r>
      <w:r>
        <w:t xml:space="preserve"> </w:t>
      </w:r>
      <w:r>
        <w:t xml:space="preserve">Lawyers</w:t>
      </w:r>
      <w:r>
        <w:t xml:space="preserve">. It examines the legal framework governing foreign investment, company formation, and commercial contracts. The text analyzes the interaction between Iraqi commercial statutes and international trade agreements. It is particularly useful for legal professionals advising multinational corporations or local businesses on regulatory compliance, dispute resolution mechanisms, and the protection of intellectual property within the Iraqi market.</w:t>
      </w:r>
    </w:p>
    <w:p>
      <w:pPr>
        <w:pStyle w:val="BodyText"/>
      </w:pPr>
      <w:r>
        <w:t xml:space="preserve"> </w:t>
      </w:r>
      <w:r>
        <w:t xml:space="preserve">United Nations Assistance Mission for Iraq (UNAMI). (2021). Rule of Law and Justice Sector Reform Report. Baghdad: UNAMI Publications.</w:t>
      </w:r>
      <w:r>
        <w:t xml:space="preserve"> </w:t>
      </w:r>
    </w:p>
    <w:p>
      <w:pPr>
        <w:pStyle w:val="BodyText"/>
      </w:pPr>
      <w:r>
        <w:t xml:space="preserve">This report outlines the efforts of the international community and the Iraqi government to strengthen the rule of law. It focuses on capacity building, judicial independence, and the rehabilitation of legal infrastructure. For a</w:t>
      </w:r>
      <w:r>
        <w:t xml:space="preserve"> </w:t>
      </w:r>
      <w:r>
        <w:t xml:space="preserve">Lawyer</w:t>
      </w:r>
      <w:r>
        <w:t xml:space="preserve"> </w:t>
      </w:r>
      <w:r>
        <w:t xml:space="preserve">in</w:t>
      </w:r>
      <w:r>
        <w:t xml:space="preserve"> </w:t>
      </w:r>
      <w:r>
        <w:t xml:space="preserve">Iraq Baghdad</w:t>
      </w:r>
      <w:r>
        <w:t xml:space="preserve">, this document provides insight into ongoing reforms that may impact legal practice. It highlights initiatives aimed at reducing case backlogs and improving the efficiency of courts, which are critical issues for practitioners dealing with the high volume of cases in the capital.</w:t>
      </w:r>
    </w:p>
    <w:p>
      <w:pPr>
        <w:pStyle w:val="BodyText"/>
      </w:pPr>
      <w:r>
        <w:t xml:space="preserve"> </w:t>
      </w:r>
      <w:r>
        <w:t xml:space="preserve">Iraqi Personal Status Law. (1959). Law No. 188 of 1959. Official Gazette of the Republic of Iraq.</w:t>
      </w:r>
      <w:r>
        <w:t xml:space="preserve"> </w:t>
      </w:r>
    </w:p>
    <w:p>
      <w:pPr>
        <w:pStyle w:val="BodyText"/>
      </w:pPr>
      <w:r>
        <w:t xml:space="preserve">This law governs family matters, including marriage, divorce, inheritance, and child custody. It is heavily influenced by Islamic jurisprudence and is a cornerstone of private law in Iraq. For family law</w:t>
      </w:r>
      <w:r>
        <w:t xml:space="preserve"> </w:t>
      </w:r>
      <w:r>
        <w:t xml:space="preserve">Lawyers</w:t>
      </w:r>
      <w:r>
        <w:t xml:space="preserve"> </w:t>
      </w:r>
      <w:r>
        <w:t xml:space="preserve">in</w:t>
      </w:r>
      <w:r>
        <w:t xml:space="preserve"> </w:t>
      </w:r>
      <w:r>
        <w:t xml:space="preserve">Iraq Baghdad</w:t>
      </w:r>
      <w:r>
        <w:t xml:space="preserve">, this text is essential for navigating the complexities of personal status disputes. It provides the legal basis for determining rights and obligations within the family unit, and its interpretation is frequently litigated in Baghdad's specialized personal status courts.</w:t>
      </w:r>
    </w:p>
    <w:p>
      <w:pPr>
        <w:pStyle w:val="BodyText"/>
      </w:pPr>
      <w:r>
        <w:t xml:space="preserve">Document generated for educational and reference purposes regarding the legal profession in Iraq.</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Legal Practice and the Lawyer in Iraq Baghdad</dc:title>
  <dc:creator/>
  <dc:language>en</dc:language>
  <cp:keywords/>
  <dcterms:created xsi:type="dcterms:W3CDTF">2026-08-07T03:01:54Z</dcterms:created>
  <dcterms:modified xsi:type="dcterms:W3CDTF">2026-08-07T03:01:54Z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