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Almaty,</w:t>
      </w:r>
      <w:r>
        <w:t xml:space="preserve"> </w:t>
      </w:r>
      <w:r>
        <w:t xml:space="preserve">Kazakhstan</w:t>
      </w:r>
    </w:p>
    <w:bookmarkStart w:id="24" w:name="X7e3bab468aedc8e0778676725b11bc81541365d"/>
    <w:p>
      <w:pPr>
        <w:pStyle w:val="Heading1"/>
      </w:pPr>
      <w:r>
        <w:t xml:space="preserve">Annotated Bibliography: Legal Practice and the Lawyer Profession in Almaty, Kazakhstan</w:t>
      </w:r>
    </w:p>
    <w:p>
      <w:pPr>
        <w:pStyle w:val="FirstParagraph"/>
      </w:pPr>
      <w:r>
        <w:rPr>
          <w:bCs/>
          <w:b/>
        </w:rPr>
        <w:t xml:space="preserve">Introduction:</w:t>
      </w:r>
      <w:r>
        <w:t xml:space="preserve"> </w:t>
      </w:r>
      <w:r>
        <w:t xml:space="preserve">This annotated bibliography compiles essential resources regarding the legal profession, regulatory frameworks, and practical considerations for lawyers operating in Almaty, Kazakhstan. As the former capital and the current economic hub of the nation, Almaty presents a unique legal landscape characterized by a blend of civil law traditions, rapid commercialization, and ongoing judicial reforms. The following sources provide critical insights into the statutory requirements for practicing law, the role of the Chamber of Advocates, and the specific challenges faced by legal practitioners in this dynamic Central Asian metropolis.</w:t>
      </w:r>
    </w:p>
    <w:bookmarkStart w:id="20" w:name="X0df8b2bf3b398aecfb3d2f21d3cf779a5d40bff"/>
    <w:p>
      <w:pPr>
        <w:pStyle w:val="Heading2"/>
      </w:pPr>
      <w:r>
        <w:t xml:space="preserve">Statutory Framework and Professional Regulation</w:t>
      </w:r>
    </w:p>
    <w:p>
      <w:pPr>
        <w:pStyle w:val="FirstParagraph"/>
      </w:pPr>
      <w:r>
        <w:t xml:space="preserve">Republic of Kazakhstan. (2023). Law of the Republic of Kazakhstan "On Advocacy and Legal Practice in the Republic of Kazakhstan." Official Gazette of the Republic of Kazakhstan.</w:t>
      </w:r>
    </w:p>
    <w:p>
      <w:pPr>
        <w:pStyle w:val="BodyText"/>
      </w:pPr>
      <w:r>
        <w:t xml:space="preserve">This primary legislative source is the cornerstone for any lawyer intending to practice in Almaty or anywhere within Kazakhstan. The law defines the status of an advocate, the requirements for admission to the bar, and the ethical obligations inherent to the profession. For a legal professional in Almaty, this document is indispensable as it outlines the specific educational prerequisites, the necessity of passing the qualification exam, and the mandatory membership in the Chamber of Advocates. The text also delineates the scope of legal practice, distinguishing between advocates and other legal consultants, which is a crucial distinction in the Kazakhstani legal market. Understanding this statute is vital for navigating the regulatory environment and ensuring compliance with national standards.</w:t>
      </w:r>
    </w:p>
    <w:p>
      <w:pPr>
        <w:pStyle w:val="BodyText"/>
      </w:pPr>
      <w:r>
        <w:t xml:space="preserve">Chamber of Advocates of the Republic of Kazakhstan. (2024). Code of Professional Ethics of Advocates of the Republic of Kazakhstan. Almaty: CA RK Publishing.</w:t>
      </w:r>
    </w:p>
    <w:p>
      <w:pPr>
        <w:pStyle w:val="BodyText"/>
      </w:pPr>
      <w:r>
        <w:t xml:space="preserve">While statutory law provides the framework, this Code of Professional Ethics serves as the behavioral guide for lawyers in Almaty. Given the competitive nature of the legal market in Kazakhstan's largest city, adherence to ethical standards is paramount for maintaining professional integrity and client trust. This document details rules regarding confidentiality, conflicts of interest, and fee structures. For a lawyer in Almaty, this resource is essential for avoiding disciplinary actions by the Chamber of Advocates. It also provides guidance on how to handle complex client relationships in a jurisdiction where legal culture is evolving, ensuring that practitioners uphold the dignity of the profession while serving the diverse needs of Almaty's population.</w:t>
      </w:r>
    </w:p>
    <w:bookmarkEnd w:id="20"/>
    <w:bookmarkStart w:id="21" w:name="legal-education-and-qualification"/>
    <w:p>
      <w:pPr>
        <w:pStyle w:val="Heading2"/>
      </w:pPr>
      <w:r>
        <w:t xml:space="preserve">Legal Education and Qualification</w:t>
      </w:r>
    </w:p>
    <w:p>
      <w:pPr>
        <w:pStyle w:val="FirstParagraph"/>
      </w:pPr>
      <w:r>
        <w:t xml:space="preserve">Nazarbayev University, Faculty of Law. (2023). Legal Education Reform and the Path to Advocacy in Kazakhstan. NU Law Review, 12(1), 45-68.</w:t>
      </w:r>
    </w:p>
    <w:p>
      <w:pPr>
        <w:pStyle w:val="BodyText"/>
      </w:pPr>
      <w:r>
        <w:t xml:space="preserve">This academic article provides a critical analysis of the legal education system in Kazakhstan, with a specific focus on how graduates from institutions in Almaty are prepared for the bar exam. The authors discuss the shift towards a more practical, skills-based curriculum designed to meet the demands of the modern legal market. For aspiring lawyers in Almaty, this source offers valuable insights into the academic rigor required and the importance of bilingual proficiency in Kazakh and Russian, which are the primary languages of the courts. The article also highlights the role of clinical legal education in preparing students for real-world challenges, making it a relevant resource for understanding the pipeline of new legal talent entering the Almaty legal community.</w:t>
      </w:r>
    </w:p>
    <w:p>
      <w:pPr>
        <w:pStyle w:val="BodyText"/>
      </w:pPr>
      <w:r>
        <w:t xml:space="preserve">Ministry of Justice of the Republic of Kazakhstan. (2022). Report on the Results of the Qualification Exams for Advocates. Astana: MoJ RK.</w:t>
      </w:r>
    </w:p>
    <w:p>
      <w:pPr>
        <w:pStyle w:val="BodyText"/>
      </w:pPr>
      <w:r>
        <w:t xml:space="preserve">This official report from the Ministry of Justice provides statistical data and analysis on the qualification exams that candidates must pass to become licensed advocates. For a lawyer or law student in Almaty, this document is a practical tool for understanding the difficulty and focus areas of the examination. It reveals trends in candidate performance, highlighting areas of law where applicants frequently struggle, such as criminal procedure and civil litigation. By studying this report, individuals can better prepare for the rigorous testing process required to join the Almaty Bar, ensuring they are well-versed in the substantive and procedural laws of Kazakhstan.</w:t>
      </w:r>
    </w:p>
    <w:bookmarkEnd w:id="21"/>
    <w:bookmarkStart w:id="22" w:name="commercial-and-corporate-law-in-almaty"/>
    <w:p>
      <w:pPr>
        <w:pStyle w:val="Heading2"/>
      </w:pPr>
      <w:r>
        <w:t xml:space="preserve">Commercial and Corporate Law in Almaty</w:t>
      </w:r>
    </w:p>
    <w:p>
      <w:pPr>
        <w:pStyle w:val="FirstParagraph"/>
      </w:pPr>
      <w:r>
        <w:t xml:space="preserve">Kolesnikov, A., &amp; Serikbayev, B. (2023). Corporate Governance and Legal Practice in Kazakhstan's Financial Hub. Almaty Business Law Journal, 8(2), 112-130.</w:t>
      </w:r>
    </w:p>
    <w:p>
      <w:pPr>
        <w:pStyle w:val="BodyText"/>
      </w:pPr>
      <w:r>
        <w:t xml:space="preserve">As Almaty remains the financial and commercial center of Kazakhstan, this journal article is highly relevant for lawyers specializing in corporate law. The authors examine the legal challenges and opportunities associated with corporate governance in the city, including issues related to foreign investment, joint ventures, and regulatory compliance. The article provides case studies of legal disputes that have arisen in Almaty's courts, offering practical lessons for lawyers advising businesses. It underscores the importance of understanding both local laws and international best practices, making it an essential read for legal professionals working with multinational corporations or startups in the Almaty tech and finance sectors.</w:t>
      </w:r>
    </w:p>
    <w:p>
      <w:pPr>
        <w:pStyle w:val="BodyText"/>
      </w:pPr>
      <w:r>
        <w:t xml:space="preserve">International Bar Association (IBA). (2023). Kazakhstan: Legal Market Overview and Trends. IBA Market Intelligence Report.</w:t>
      </w:r>
    </w:p>
    <w:p>
      <w:pPr>
        <w:pStyle w:val="BodyText"/>
      </w:pPr>
      <w:r>
        <w:t xml:space="preserve">This report from the International Bar Association offers an external perspective on the legal market in Kazakhstan, with a significant focus on Almaty. It provides an overview of the major law firms operating in the city, the demand for legal services, and the impact of recent judicial reforms on the practice of law. For foreign lawyers considering practice in Almaty or local lawyers seeking to expand their international client base, this source is invaluable. It highlights the growing sophistication of the legal market in Almaty and the increasing demand for expertise in areas such as arbitration, intellectual property, and energy law. The report also discusses the challenges of legal pluralism and the need for lawyers to navigate a complex regulatory environment.</w:t>
      </w:r>
    </w:p>
    <w:bookmarkEnd w:id="22"/>
    <w:bookmarkStart w:id="23" w:name="judicial-reform-and-access-to-justice"/>
    <w:p>
      <w:pPr>
        <w:pStyle w:val="Heading2"/>
      </w:pPr>
      <w:r>
        <w:t xml:space="preserve">Judicial Reform and Access to Justice</w:t>
      </w:r>
    </w:p>
    <w:p>
      <w:pPr>
        <w:pStyle w:val="FirstParagraph"/>
      </w:pPr>
      <w:r>
        <w:t xml:space="preserve">World Bank Group. (2022). Strengthening the Rule of Law in Kazakhstan: Progress and Challenges. Washington, DC: World Bank Publications.</w:t>
      </w:r>
    </w:p>
    <w:p>
      <w:pPr>
        <w:pStyle w:val="BodyText"/>
      </w:pPr>
      <w:r>
        <w:t xml:space="preserve">This comprehensive report by the World Bank evaluates the progress of judicial reforms in Kazakhstan, including those affecting the legal profession in Almaty. It discusses efforts to enhance judicial independence, reduce corruption, and improve access to justice for citizens and businesses. For lawyers in Almaty, this document provides context for understanding the broader legal environment in which they operate. It highlights the importance of transparency and accountability in the legal system and offers recommendations for further reform. The report is particularly useful for lawyers involved in public interest litigation or those advising clients on the risks and opportunities associated with Kazakhstan's evolving legal landscape.</w:t>
      </w:r>
    </w:p>
    <w:p>
      <w:pPr>
        <w:pStyle w:val="BodyText"/>
      </w:pPr>
      <w:r>
        <w:t xml:space="preserve">Almaty City Court. (2023). Annual Report on Judicial Activity and Case Management. Almaty: City Court Administration.</w:t>
      </w:r>
    </w:p>
    <w:p>
      <w:pPr>
        <w:pStyle w:val="BodyText"/>
      </w:pPr>
      <w:r>
        <w:t xml:space="preserve">This annual report from the Almaty City Court provides detailed statistics on the volume and types of cases heard by the court, as well as information on case management practices and judicial efficiency. For lawyers practicing in Almaty, this source is a practical tool for understanding the workload of the courts and the likely timelines for case resolution. It also offers insights into the priorities of the judiciary and the areas of law that are receiving increased attention. By reviewing this report, lawyers can better strategize their case management and provide more accurate advice to their clients regarding the prospects and duration of litigation in Almaty.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Almaty, Kazakhstan</dc:title>
  <dc:creator/>
  <dc:language>en</dc:language>
  <cp:keywords/>
  <dcterms:created xsi:type="dcterms:W3CDTF">2026-08-07T10:39:52Z</dcterms:created>
  <dcterms:modified xsi:type="dcterms:W3CDTF">2026-08-07T10:39:52Z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