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Kuwait</w:t>
      </w:r>
      <w:r>
        <w:t xml:space="preserve"> </w:t>
      </w:r>
      <w:r>
        <w:t xml:space="preserve">City</w:t>
      </w:r>
    </w:p>
    <w:bookmarkStart w:id="22" w:name="Xb25098c9b06536b7774340ddbf0532f40f23467"/>
    <w:p>
      <w:pPr>
        <w:pStyle w:val="Heading1"/>
      </w:pPr>
      <w:r>
        <w:t xml:space="preserve">Annotated Bibliography: Legal Practice and the Lawyer in Kuwait City</w:t>
      </w:r>
    </w:p>
    <w:p>
      <w:pPr>
        <w:pStyle w:val="FirstParagraph"/>
      </w:pPr>
      <w:r>
        <w:t xml:space="preserve">The following annotated bibliography compiles essential resources regarding the role of the lawyer within the jurisdiction of Kuwait City. As the capital and primary commercial hub of the State of Kuwait, Kuwait City hosts a complex legal environment where civil law traditions intersect with Islamic Sharia principles. This collection focuses on the statutory framework, professional ethics, and practical challenges faced by legal practitioners in this specific geographic and cultural context. The selected texts provide a comprehensive overview for understanding how a lawyer operates within the Kuwaiti legal system, from corporate litigation in the financial district to family law matters governed by personal status codes.</w:t>
      </w:r>
    </w:p>
    <w:bookmarkStart w:id="20" w:name="X6ac68122bacc5c9c006a734cf1b1da91d340ccd"/>
    <w:p>
      <w:pPr>
        <w:pStyle w:val="Heading2"/>
      </w:pPr>
      <w:r>
        <w:t xml:space="preserve">Primary Legal Sources and Statutory Frameworks</w:t>
      </w:r>
    </w:p>
    <w:p>
      <w:pPr>
        <w:pStyle w:val="FirstParagraph"/>
      </w:pPr>
      <w:r>
        <w:t xml:space="preserve">State of Kuwait. (1960). Law No. 16 of 1960 Regarding the Organization of the Judiciary. Official Gazette of the State of Kuwait.</w:t>
      </w:r>
    </w:p>
    <w:p>
      <w:pPr>
        <w:pStyle w:val="BodyText"/>
      </w:pPr>
      <w:r>
        <w:t xml:space="preserve">This foundational statute establishes the hierarchy of courts in Kuwait, including the Court of Cassation, the Court of Appeal, and the Summary Courts located throughout Kuwait City. For the practicing lawyer, this document is indispensable as it defines jurisdictional boundaries and procedural requirements. It outlines the structure within which legal counsel must navigate cases, ensuring that filings are submitted to the appropriate judicial bodies. Understanding this law is critical for any lawyer seeking to practice effectively in Kuwait City, as it dictates the flow of litigation and the appellate process.</w:t>
      </w:r>
    </w:p>
    <w:p>
      <w:pPr>
        <w:pStyle w:val="BodyText"/>
      </w:pPr>
      <w:r>
        <w:t xml:space="preserve">State of Kuwait. (1980). Law No. 52 of 1980 Regarding the Organization of the Kuwait Bar Association. Official Gazette of the State of Kuwait.</w:t>
      </w:r>
    </w:p>
    <w:p>
      <w:pPr>
        <w:pStyle w:val="BodyText"/>
      </w:pPr>
      <w:r>
        <w:t xml:space="preserve">This legislation governs the professional conduct, licensing, and ethical obligations of lawyers in Kuwait. It establishes the Kuwait Bar Association, the regulatory body based in Kuwait City that oversees the legal profession. The text details the requirements for admission to the bar, the code of ethics, and the disciplinary measures applicable to attorneys. For a lawyer operating in Kuwait City, compliance with this law is mandatory. It serves as the primary reference for professional standards, client confidentiality, and conflict of interest rules, ensuring the integrity of the legal system.</w:t>
      </w:r>
    </w:p>
    <w:p>
      <w:pPr>
        <w:pStyle w:val="BodyText"/>
      </w:pPr>
      <w:r>
        <w:t xml:space="preserve">State of Kuwait. (1980). Law No. 67 of 1980 Regarding Civil Procedures. Official Gazette of the State of Kuwait.</w:t>
      </w:r>
    </w:p>
    <w:p>
      <w:pPr>
        <w:pStyle w:val="BodyText"/>
      </w:pPr>
      <w:r>
        <w:t xml:space="preserve">This code provides the procedural rules for civil litigation in Kuwait. It is a vital resource for lawyers handling commercial disputes, contract enforcement, and property matters in Kuwait City. The law outlines the steps for filing lawsuits, serving notices, presenting evidence, and appealing judgments. Given the high volume of commercial activity in Kuwait City, this text is frequently consulted by legal practitioners to ensure procedural compliance and to strategize litigation tactics. It reflects the civil law tradition prevalent in the region, emphasizing written procedures and judicial investigation.</w:t>
      </w:r>
    </w:p>
    <w:bookmarkEnd w:id="20"/>
    <w:bookmarkStart w:id="21" w:name="secondary-sources-and-academic-analysis"/>
    <w:p>
      <w:pPr>
        <w:pStyle w:val="Heading2"/>
      </w:pPr>
      <w:r>
        <w:t xml:space="preserve">Secondary Sources and Academic Analysis</w:t>
      </w:r>
    </w:p>
    <w:p>
      <w:pPr>
        <w:pStyle w:val="FirstParagraph"/>
      </w:pPr>
      <w:r>
        <w:t xml:space="preserve">Al-Saleh, M. (2018).</w:t>
      </w:r>
      <w:r>
        <w:t xml:space="preserve"> </w:t>
      </w:r>
      <w:r>
        <w:rPr>
          <w:iCs/>
          <w:i/>
        </w:rPr>
        <w:t xml:space="preserve">The Role of Sharia in the Kuwaiti Legal System: Implications for Legal Practice</w:t>
      </w:r>
      <w:r>
        <w:t xml:space="preserve">. Journal of Middle East Law and Governance, 10(2), 145-162.</w:t>
      </w:r>
    </w:p>
    <w:p>
      <w:pPr>
        <w:pStyle w:val="BodyText"/>
      </w:pPr>
      <w:r>
        <w:t xml:space="preserve">This academic article examines the integration of Islamic law into the secular legal framework of Kuwait. It is particularly relevant for lawyers in Kuwait City dealing with family law, inheritance, and certain commercial contracts where Sharia principles may apply. The author analyzes how judges interpret religious texts alongside statutory laws, providing insights into judicial reasoning. For a lawyer, this resource offers a nuanced understanding of the dual legal influences in Kuwait, aiding in the preparation of arguments that respect both civil statutes and religious norms.</w:t>
      </w:r>
    </w:p>
    <w:p>
      <w:pPr>
        <w:pStyle w:val="BodyText"/>
      </w:pPr>
      <w:r>
        <w:t xml:space="preserve">Brown, J. (2020).</w:t>
      </w:r>
      <w:r>
        <w:t xml:space="preserve"> </w:t>
      </w:r>
      <w:r>
        <w:rPr>
          <w:iCs/>
          <w:i/>
        </w:rPr>
        <w:t xml:space="preserve">Doing Business in Kuwait: A Legal Guide for Foreign Investors</w:t>
      </w:r>
      <w:r>
        <w:t xml:space="preserve">. Gulf Legal Press.</w:t>
      </w:r>
    </w:p>
    <w:p>
      <w:pPr>
        <w:pStyle w:val="BodyText"/>
      </w:pPr>
      <w:r>
        <w:t xml:space="preserve">This guidebook addresses the legal requirements for foreign entities operating in Kuwait City. It covers company formation, labor laws, and regulatory compliance. For lawyers advising international clients, this text is a practical tool for navigating the bureaucratic landscape of Kuwait. It highlights recent legal reforms aimed at attracting foreign investment and explains the role of legal counsel in facilitating these transactions. The book emphasizes the importance of local legal representation and the specific challenges of enforcing contracts in the Kuwaiti market.</w:t>
      </w:r>
    </w:p>
    <w:p>
      <w:pPr>
        <w:pStyle w:val="BodyText"/>
      </w:pPr>
      <w:r>
        <w:t xml:space="preserve">Al-Rashid, S. (2019).</w:t>
      </w:r>
      <w:r>
        <w:t xml:space="preserve"> </w:t>
      </w:r>
      <w:r>
        <w:rPr>
          <w:iCs/>
          <w:i/>
        </w:rPr>
        <w:t xml:space="preserve">Legal Ethics and Professional Responsibility in the Gulf States</w:t>
      </w:r>
      <w:r>
        <w:t xml:space="preserve">. Arab Law Quarterly, 33(4), 310-328.</w:t>
      </w:r>
    </w:p>
    <w:p>
      <w:pPr>
        <w:pStyle w:val="BodyText"/>
      </w:pPr>
      <w:r>
        <w:t xml:space="preserve">This journal article discusses the ethical dilemmas faced by lawyers in Gulf Cooperation Council countries, with a specific focus on Kuwait. It explores issues such as client confidentiality, fee structures, and the relationship between lawyers and the judiciary. The author argues for the need for stricter enforcement of ethical codes to maintain public trust in the legal profession. For lawyers in Kuwait City, this article provides a critical perspective on professional responsibility and encourages reflection on ethical practices in a rapidly evolving legal environment.</w:t>
      </w:r>
    </w:p>
    <w:p>
      <w:pPr>
        <w:pStyle w:val="BodyText"/>
      </w:pPr>
      <w:r>
        <w:t xml:space="preserve">Kuwait Institute for Parliamentary and Political Research. (2021).</w:t>
      </w:r>
      <w:r>
        <w:t xml:space="preserve"> </w:t>
      </w:r>
      <w:r>
        <w:rPr>
          <w:iCs/>
          <w:i/>
        </w:rPr>
        <w:t xml:space="preserve">Annual Report on Legislative Developments in Kuwait</w:t>
      </w:r>
      <w:r>
        <w:t xml:space="preserve">. KIPPR Publications.</w:t>
      </w:r>
    </w:p>
    <w:p>
      <w:pPr>
        <w:pStyle w:val="BodyText"/>
      </w:pPr>
      <w:r>
        <w:t xml:space="preserve">This annual report summarizes new laws and amendments passed by the Kuwaiti National Assembly. It is an essential resource for lawyers in Kuwait City who must stay updated on legislative changes affecting their practice areas. The report covers a wide range of topics, including criminal law, commercial regulations, and social policies. By reviewing this document, legal practitioners can anticipate shifts in the legal landscape and advise their clients accordingly. It underscores the dynamic nature of Kuwaiti law and the importance of continuous legal education.</w:t>
      </w:r>
    </w:p>
    <w:p>
      <w:pPr>
        <w:pStyle w:val="BodyText"/>
      </w:pPr>
      <w:r>
        <w:t xml:space="preserve">World Bank Group. (2022).</w:t>
      </w:r>
      <w:r>
        <w:t xml:space="preserve"> </w:t>
      </w:r>
      <w:r>
        <w:rPr>
          <w:iCs/>
          <w:i/>
        </w:rPr>
        <w:t xml:space="preserve">Doing Business 2022: Kuwait Country Profile</w:t>
      </w:r>
      <w:r>
        <w:t xml:space="preserve">. World Bank Publications.</w:t>
      </w:r>
    </w:p>
    <w:p>
      <w:pPr>
        <w:pStyle w:val="BodyText"/>
      </w:pPr>
      <w:r>
        <w:t xml:space="preserve">Although the "Doing Business" report has been discontinued, the 2022 edition provides valuable data on the ease of doing business in Kuwait. It assesses legal frameworks related to starting a business, enforcing contracts, and resolving insolvency. For lawyers in Kuwait City specializing in corporate law, this report offers comparative insights into Kuwait's legal efficiency relative to other jurisdictions. It highlights areas where legal reforms have improved the business environment and identifies remaining challenges for legal practitioners and investors.</w:t>
      </w:r>
    </w:p>
    <w:p>
      <w:pPr>
        <w:pStyle w:val="BodyText"/>
      </w:pPr>
      <w:r>
        <w:t xml:space="preserve">Al-Hamad, F. (2017).</w:t>
      </w:r>
      <w:r>
        <w:t xml:space="preserve"> </w:t>
      </w:r>
      <w:r>
        <w:rPr>
          <w:iCs/>
          <w:i/>
        </w:rPr>
        <w:t xml:space="preserve">Human Rights and Legal Advocacy in Kuwait</w:t>
      </w:r>
      <w:r>
        <w:t xml:space="preserve">. Human Rights Law Review, 17(3), 450-470.</w:t>
      </w:r>
    </w:p>
    <w:p>
      <w:pPr>
        <w:pStyle w:val="BodyText"/>
      </w:pPr>
      <w:r>
        <w:t xml:space="preserve">This article explores the role of lawyers in promoting human rights within the Kuwaiti legal system. It discusses the challenges faced by legal advocates in cases involving labor rights, gender equality, and freedom of expression. For lawyers in Kuwait City interested in public interest law, this text provides a critical analysis of the legal mechanisms available for protecting individual rights. It highlights the growing importance of legal advocacy in shaping social policy and ensuring justice for marginalized groups in Kuwait.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Kuwait City</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