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Lawyer</w:t>
      </w:r>
      <w:r>
        <w:t xml:space="preserve"> </w:t>
      </w:r>
      <w:r>
        <w:t xml:space="preserve">Representation</w:t>
      </w:r>
      <w:r>
        <w:t xml:space="preserve"> </w:t>
      </w:r>
      <w:r>
        <w:t xml:space="preserve">in</w:t>
      </w:r>
      <w:r>
        <w:t xml:space="preserve"> </w:t>
      </w:r>
      <w:r>
        <w:t xml:space="preserve">Kuala</w:t>
      </w:r>
      <w:r>
        <w:t xml:space="preserve"> </w:t>
      </w:r>
      <w:r>
        <w:t xml:space="preserve">Lumpur,</w:t>
      </w:r>
      <w:r>
        <w:t xml:space="preserve"> </w:t>
      </w:r>
      <w:r>
        <w:t xml:space="preserve">Malaysia</w:t>
      </w:r>
    </w:p>
    <w:bookmarkStart w:id="20" w:name="X2ff548d74e787e7d2069c315932677a69066d01"/>
    <w:p>
      <w:pPr>
        <w:pStyle w:val="Heading1"/>
      </w:pPr>
      <w:r>
        <w:t xml:space="preserve">Annotated Bibliography: Legal Practice and Lawyer Representation in Kuala Lumpur, Malaysia</w:t>
      </w:r>
    </w:p>
    <w:p>
      <w:pPr>
        <w:pStyle w:val="FirstParagraph"/>
      </w:pPr>
      <w:r>
        <w:rPr>
          <w:bCs/>
          <w:b/>
        </w:rPr>
        <w:t xml:space="preserve">Subject:</w:t>
      </w:r>
      <w:r>
        <w:t xml:space="preserve"> </w:t>
      </w:r>
      <w:r>
        <w:t xml:space="preserve">Legal Profession, Regulatory Framework, and Professional Ethics</w:t>
      </w:r>
      <w:r>
        <w:br/>
      </w:r>
      <w:r>
        <w:rPr>
          <w:bCs/>
          <w:b/>
        </w:rPr>
        <w:t xml:space="preserve">Geographic Focus:</w:t>
      </w:r>
      <w:r>
        <w:t xml:space="preserve"> </w:t>
      </w:r>
      <w:r>
        <w:t xml:space="preserve">Kuala Lumpur, Federal Territory, Malaysia</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legal landscape in Kuala Lumpur, the capital city of Malaysia, is characterized by a sophisticated blend of English common law, Islamic law (Sharia), and customary law. For any individual or entity seeking the services of a lawyer in this jurisdiction, understanding the regulatory environment is paramount. This annotated bibliography compiles essential resources regarding the qualifications, ethical obligations, and operational frameworks governing lawyers practicing in Kuala Lumpur. These sources provide a comprehensive overview of how legal representation is structured, regulated, and delivered within the Malaysian capital.</w:t>
      </w:r>
    </w:p>
    <w:bookmarkEnd w:id="21"/>
    <w:bookmarkStart w:id="24" w:name="X10c91735c89e31e0e19d2cba5d75078e5da614c"/>
    <w:p>
      <w:pPr>
        <w:pStyle w:val="Heading2"/>
      </w:pPr>
      <w:r>
        <w:t xml:space="preserve">Primary Legislation and Regulatory Framework</w:t>
      </w:r>
    </w:p>
    <w:bookmarkStart w:id="22" w:name="the-legal-profession-act-1976"/>
    <w:p>
      <w:pPr>
        <w:pStyle w:val="Heading3"/>
      </w:pPr>
      <w:r>
        <w:t xml:space="preserve">1. The Legal Profession Act 1976</w:t>
      </w:r>
    </w:p>
    <w:p>
      <w:pPr>
        <w:pStyle w:val="FirstParagraph"/>
      </w:pPr>
      <w:r>
        <w:t xml:space="preserve">Legal Profession Act 1976 (Act 161). Kuala Lumpur: Government Printer.</w:t>
      </w:r>
    </w:p>
    <w:p>
      <w:pPr>
        <w:pStyle w:val="BodyText"/>
      </w:pPr>
      <w:r>
        <w:t xml:space="preserve">This is the foundational statute governing the legal profession in Malaysia. For a lawyer practicing in Kuala Lumpur, this Act dictates the requirements for admission to the Bar, the establishment of chambers, and the disciplinary mechanisms available to the public. It establishes the Advocates and Solicitors Bar Association (ABAM) as the statutory body responsible for regulating the profession. This source is critical for understanding the statutory duties of a lawyer, including the prohibition of unauthorized practice and the rules regarding professional conduct. It serves as the primary reference for determining the legitimacy and standing of any legal practitioner in the Federal Territory.</w:t>
      </w:r>
    </w:p>
    <w:bookmarkEnd w:id="22"/>
    <w:bookmarkStart w:id="23" w:name="X28e0c4d33674905a8ed219f19da95b750453db6"/>
    <w:p>
      <w:pPr>
        <w:pStyle w:val="Heading3"/>
      </w:pPr>
      <w:r>
        <w:t xml:space="preserve">2. The Legal Profession (Professional Conduct) Rules 2020</w:t>
      </w:r>
    </w:p>
    <w:p>
      <w:pPr>
        <w:pStyle w:val="FirstParagraph"/>
      </w:pPr>
      <w:r>
        <w:t xml:space="preserve">Legal Profession (Professional Conduct) Rules 2020. Kuala Lumpur: Advocates and Solicitors Bar Association.</w:t>
      </w:r>
    </w:p>
    <w:p>
      <w:pPr>
        <w:pStyle w:val="BodyText"/>
      </w:pPr>
      <w:r>
        <w:t xml:space="preserve">These rules provide the detailed ethical code that every lawyer in Kuala Lumpur must adhere to. They cover critical aspects such as confidentiality, conflict of interest, client care, and the handling of client funds. For a client engaging a lawyer, these rules offer insight into the standard of service expected. The 2020 revision modernized previous guidelines to address contemporary issues in legal practice, including digital communication and online advertising. This document is essential for evaluating whether a lawyer's actions align with the professional standards mandated by the Malaysian legal system.</w:t>
      </w:r>
    </w:p>
    <w:bookmarkEnd w:id="23"/>
    <w:bookmarkEnd w:id="24"/>
    <w:bookmarkStart w:id="27" w:name="professional-bodies-and-directories"/>
    <w:p>
      <w:pPr>
        <w:pStyle w:val="Heading2"/>
      </w:pPr>
      <w:r>
        <w:t xml:space="preserve">Professional Bodies and Directories</w:t>
      </w:r>
    </w:p>
    <w:bookmarkStart w:id="25" w:name="X41539d1b3a3f80ca257285ba6d33fc37824bcd5"/>
    <w:p>
      <w:pPr>
        <w:pStyle w:val="Heading3"/>
      </w:pPr>
      <w:r>
        <w:t xml:space="preserve">3. Advocates and Solicitors Bar Association (ABAM) Directory</w:t>
      </w:r>
    </w:p>
    <w:p>
      <w:pPr>
        <w:pStyle w:val="FirstParagraph"/>
      </w:pPr>
      <w:r>
        <w:t xml:space="preserve">Advocates and Solicitors Bar Association. "Member Directory." ABAM Official Website.</w:t>
      </w:r>
    </w:p>
    <w:p>
      <w:pPr>
        <w:pStyle w:val="BodyText"/>
      </w:pPr>
      <w:r>
        <w:t xml:space="preserve">ABAM is the sole professional body for lawyers in Malaysia. Its online directory is the most reliable tool for verifying the credentials of a lawyer in Kuala Lumpur. This resource allows users to search for practitioners by name, firm, or area of specialization. It confirms whether an individual is a fully qualified advocate and solicitor entitled to practice in the High Court of Malaya. For anyone seeking legal counsel in Kuala Lumpur, consulting this directory is the first step in ensuring they are engaging a legitimate and registered professional. It also provides contact details for chambers located throughout the city center and surrounding areas.</w:t>
      </w:r>
    </w:p>
    <w:bookmarkEnd w:id="25"/>
    <w:bookmarkStart w:id="26" w:name="Xd71a3d7d7e46b0ee902dbaa07631344d4b6b2ac"/>
    <w:p>
      <w:pPr>
        <w:pStyle w:val="Heading3"/>
      </w:pPr>
      <w:r>
        <w:t xml:space="preserve">4. The Malaysian Bar: "Choosing a Lawyer" Guide</w:t>
      </w:r>
    </w:p>
    <w:p>
      <w:pPr>
        <w:pStyle w:val="FirstParagraph"/>
      </w:pPr>
      <w:r>
        <w:t xml:space="preserve">The Malaysian Bar. "How to Choose a Lawyer." The Malaysian Bar Official Website.</w:t>
      </w:r>
    </w:p>
    <w:p>
      <w:pPr>
        <w:pStyle w:val="BodyText"/>
      </w:pPr>
      <w:r>
        <w:t xml:space="preserve">This informational guide is designed for the general public and outlines the practical steps for selecting legal representation in Malaysia. It explains the difference between a lawyer and a solicitor, the importance of specialization, and how to assess fees. Given the competitive legal market in Kuala Lumpur, this resource helps clients navigate the process of finding a lawyer who is not only qualified but also suitable for their specific legal needs, whether in corporate law, family law, or criminal defense. It emphasizes the importance of clear communication and transparency in the lawyer-client relationship.</w:t>
      </w:r>
    </w:p>
    <w:bookmarkEnd w:id="26"/>
    <w:bookmarkEnd w:id="27"/>
    <w:bookmarkStart w:id="29" w:name="legal-education-and-qualification"/>
    <w:p>
      <w:pPr>
        <w:pStyle w:val="Heading2"/>
      </w:pPr>
      <w:r>
        <w:t xml:space="preserve">Legal Education and Qualification</w:t>
      </w:r>
    </w:p>
    <w:bookmarkStart w:id="28" w:name="X104208b592bc87440e30f8034e8830c049fb49c"/>
    <w:p>
      <w:pPr>
        <w:pStyle w:val="Heading3"/>
      </w:pPr>
      <w:r>
        <w:t xml:space="preserve">5. The Malaysian Legal Profession Qualifying Board (LPQB)</w:t>
      </w:r>
    </w:p>
    <w:p>
      <w:pPr>
        <w:pStyle w:val="FirstParagraph"/>
      </w:pPr>
      <w:r>
        <w:t xml:space="preserve">Legal Profession Qualifying Board. "Pupillage and Call to the Bar." LPQB Official Website.</w:t>
      </w:r>
    </w:p>
    <w:p>
      <w:pPr>
        <w:pStyle w:val="BodyText"/>
      </w:pPr>
      <w:r>
        <w:t xml:space="preserve">To practice as a lawyer in Kuala Lumpur, one must complete a rigorous training process overseen by the LPQB. This source details the requirements for the Professional Legal Studies Course (PLSC) and the mandatory pupillage period. Understanding this pathway is crucial for assessing the experience level of a lawyer. A newly called lawyer in Kuala Lumpur will have recently completed this training, while a senior counsel will have years of post-qualification experience. This resource provides context on the educational standards that ensure competence among legal practitioners in the city.</w:t>
      </w:r>
    </w:p>
    <w:bookmarkEnd w:id="28"/>
    <w:bookmarkEnd w:id="29"/>
    <w:bookmarkStart w:id="33" w:name="X93bb4e50fe727a727161dead741e7686cbaf9c8"/>
    <w:p>
      <w:pPr>
        <w:pStyle w:val="Heading2"/>
      </w:pPr>
      <w:r>
        <w:t xml:space="preserve">Specialized Legal Contexts in Kuala Lumpur</w:t>
      </w:r>
    </w:p>
    <w:bookmarkStart w:id="30" w:name="the-companies-act-2016"/>
    <w:p>
      <w:pPr>
        <w:pStyle w:val="Heading3"/>
      </w:pPr>
      <w:r>
        <w:t xml:space="preserve">6. The Companies Act 2016</w:t>
      </w:r>
    </w:p>
    <w:p>
      <w:pPr>
        <w:pStyle w:val="FirstParagraph"/>
      </w:pPr>
      <w:r>
        <w:t xml:space="preserve">Companies Act 2016 (Act 777). Kuala Lumpur: Government Printer.</w:t>
      </w:r>
    </w:p>
    <w:p>
      <w:pPr>
        <w:pStyle w:val="BodyText"/>
      </w:pPr>
      <w:r>
        <w:t xml:space="preserve">As the financial hub of Malaysia, Kuala Lumpur hosts a vast number of corporate entities. This Act is the primary legislation governing company law in the country. For lawyers specializing in corporate and commercial law in Kuala Lumpur, this Act is indispensable. It outlines the legal requirements for company formation, governance, and dissolution. Clients seeking a lawyer for business matters in Kuala Lumpur should ensure their chosen practitioner has a deep understanding of this Act, as it forms the backbone of commercial legal advice in the region.</w:t>
      </w:r>
    </w:p>
    <w:bookmarkEnd w:id="30"/>
    <w:bookmarkStart w:id="31" w:name="the-land-code-1965-federal-territory"/>
    <w:p>
      <w:pPr>
        <w:pStyle w:val="Heading3"/>
      </w:pPr>
      <w:r>
        <w:t xml:space="preserve">7. The Land Code 1965 (Federal Territory)</w:t>
      </w:r>
    </w:p>
    <w:p>
      <w:pPr>
        <w:pStyle w:val="FirstParagraph"/>
      </w:pPr>
      <w:r>
        <w:t xml:space="preserve">National Land Code 1965 (Act 565). Kuala Lumpur: Government Printer.</w:t>
      </w:r>
    </w:p>
    <w:p>
      <w:pPr>
        <w:pStyle w:val="BodyText"/>
      </w:pPr>
      <w:r>
        <w:t xml:space="preserve">Property law is a significant area of practice in Kuala Lumpur due to the city's dynamic real estate market. This Code governs the registration and transfer of land titles. For a lawyer handling property transactions, conveyancing, or land disputes in Kuala Lumpur, this is the authoritative text. It provides the legal framework for ensuring clear title and protecting property rights. Clients engaging a lawyer for property matters in the Federal Territory should verify the lawyer's expertise in this Code to ensure secure and legally sound transactions.</w:t>
      </w:r>
    </w:p>
    <w:bookmarkEnd w:id="31"/>
    <w:bookmarkStart w:id="32" w:name="X8b4ddebd2e017e8cc9df8fa81c8508ce6443750"/>
    <w:p>
      <w:pPr>
        <w:pStyle w:val="Heading3"/>
      </w:pPr>
      <w:r>
        <w:t xml:space="preserve">8. The Syariah Courts (Criminal Jurisdiction) Act 1965</w:t>
      </w:r>
    </w:p>
    <w:p>
      <w:pPr>
        <w:pStyle w:val="FirstParagraph"/>
      </w:pPr>
      <w:r>
        <w:t xml:space="preserve">Syariah Courts (Criminal Jurisdiction) Act 1965 (Act 355). Kuala Lumpur: Government Printer.</w:t>
      </w:r>
    </w:p>
    <w:p>
      <w:pPr>
        <w:pStyle w:val="BodyText"/>
      </w:pPr>
      <w:r>
        <w:t xml:space="preserve">Malaysia operates a dual court system. In Kuala Lumpur, Syariah courts have jurisdiction over Muslims in matters of family law and certain religious offenses. This Act defines the limits of this jurisdiction. For a lawyer practicing in Kuala Lumpur, understanding the interplay between civil and Syariah law is essential, particularly in family law cases involving Muslim clients. This source clarifies the scope of legal representation available in Syariah courts and is vital for ensuring that clients receive appropriate legal advice within the correct legal framework.</w:t>
      </w:r>
    </w:p>
    <w:bookmarkEnd w:id="32"/>
    <w:bookmarkEnd w:id="33"/>
    <w:p>
      <w:pPr>
        <w:pStyle w:val="BodyText"/>
      </w:pPr>
      <w:r>
        <w:t xml:space="preserve">This annotated bibliography is for informational purposes only and does not constitute legal advice. For specific legal matters in Kuala Lumpur, Malaysia, please consult a qualified lawyer.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Lawyer Representation in Kuala Lumpur, Malaysia</dc:title>
  <dc:creator/>
  <dc:language>en</dc:language>
  <cp:keywords/>
  <dcterms:created xsi:type="dcterms:W3CDTF">2026-08-07T00:37:01Z</dcterms:created>
  <dcterms:modified xsi:type="dcterms:W3CDTF">2026-08-07T00:37:01Z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