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Yangon,</w:t>
      </w:r>
      <w:r>
        <w:t xml:space="preserve"> </w:t>
      </w:r>
      <w:r>
        <w:t xml:space="preserve">Myanmar</w:t>
      </w:r>
    </w:p>
    <w:bookmarkStart w:id="20" w:name="annotated-bibliography"/>
    <w:p>
      <w:pPr>
        <w:pStyle w:val="Heading1"/>
      </w:pPr>
      <w:r>
        <w:t xml:space="preserve">Annotated Bibliography</w:t>
      </w:r>
    </w:p>
    <w:p>
      <w:pPr>
        <w:pStyle w:val="FirstParagraph"/>
      </w:pPr>
      <w:r>
        <w:t xml:space="preserve">Legal Frameworks, Professional Practice, and Jurisprudence for Lawyers in Yangon, Myanmar</w:t>
      </w:r>
    </w:p>
    <w:bookmarkEnd w:id="20"/>
    <w:p>
      <w:pPr>
        <w:pStyle w:val="BodyText"/>
      </w:pPr>
      <w:r>
        <w:t xml:space="preserve">The following annotated bibliography compiles essential resources regarding the legal profession within the jurisdiction of Myanmar, with a specific focus on the capital city, Yangon. For a lawyer practicing in Yangon, understanding the intersection of colonial-era statutes, post-independence legislation, and the complex political landscape is paramount. This collection includes primary legal texts, international human rights reports, and professional guidelines that define the scope of legal practice, ethical obligations, and the current state of the rule of law in the region.</w:t>
      </w:r>
    </w:p>
    <w:p>
      <w:pPr>
        <w:pStyle w:val="BodyText"/>
      </w:pPr>
      <w:r>
        <w:t xml:space="preserve"> </w:t>
      </w:r>
      <w:r>
        <w:t xml:space="preserve">Attorney General's Office. (2019).</w:t>
      </w:r>
      <w:r>
        <w:t xml:space="preserve"> </w:t>
      </w:r>
      <w:r>
        <w:rPr>
          <w:iCs/>
          <w:i/>
        </w:rPr>
        <w:t xml:space="preserve">The Law Practitioners Act (1953) and Related Rules</w:t>
      </w:r>
      <w:r>
        <w:t xml:space="preserve">. Naypyidaw: Government of the Republic of the Union of Myanmar.</w:t>
      </w:r>
      <w:r>
        <w:t xml:space="preserve"> </w:t>
      </w:r>
    </w:p>
    <w:p>
      <w:pPr>
        <w:pStyle w:val="BodyText"/>
      </w:pPr>
      <w:r>
        <w:t xml:space="preserve">This primary source is the foundational statutory instrument governing the legal profession in Myanmar. For any lawyer seeking admission to the bar or practicing in Yangon, this Act outlines the requirements for enrollment, the structure of the Law Practitioners Committee, and the disciplinary procedures applicable to legal professionals. The document is critical for understanding the regulatory environment in Yangon, where the majority of the country's legal practitioners are registered. It details the ethical codes and professional conduct standards that must be adhered to within the Yangon High Court and lower tribunals.</w:t>
      </w:r>
    </w:p>
    <w:p>
      <w:pPr>
        <w:pStyle w:val="BodyText"/>
      </w:pPr>
      <w:r>
        <w:t xml:space="preserve"> </w:t>
      </w:r>
      <w:r>
        <w:t xml:space="preserve">International Commission of Jurists (ICJ). (2021).</w:t>
      </w:r>
      <w:r>
        <w:t xml:space="preserve"> </w:t>
      </w:r>
      <w:r>
        <w:rPr>
          <w:iCs/>
          <w:i/>
        </w:rPr>
        <w:t xml:space="preserve">Myanmar: The Rule of Law in Crisis – A Guide for Legal Practitioners</w:t>
      </w:r>
      <w:r>
        <w:t xml:space="preserve">. Geneva: ICJ Publications.</w:t>
      </w:r>
      <w:r>
        <w:t xml:space="preserve"> </w:t>
      </w:r>
    </w:p>
    <w:p>
      <w:pPr>
        <w:pStyle w:val="BodyText"/>
      </w:pPr>
      <w:r>
        <w:t xml:space="preserve">This report provides a comprehensive analysis of the challenges facing lawyers in Myanmar following the political upheavals of early 2021. It is particularly relevant for lawyers in Yangon, who have been on the frontlines of defending political detainees and activists. The document details the erosion of judicial independence, the arbitrary detention of legal counsel, and the risks associated with practicing law under the current military administration. It serves as a vital resource for understanding the practical realities and safety protocols necessary for legal practice in Yangon today.</w:t>
      </w:r>
    </w:p>
    <w:p>
      <w:pPr>
        <w:pStyle w:val="BodyText"/>
      </w:pPr>
      <w:r>
        <w:t xml:space="preserve"> </w:t>
      </w:r>
      <w:r>
        <w:t xml:space="preserve">Human Rights Watch. (2022).</w:t>
      </w:r>
      <w:r>
        <w:t xml:space="preserve"> </w:t>
      </w:r>
      <w:r>
        <w:rPr>
          <w:iCs/>
          <w:i/>
        </w:rPr>
        <w:t xml:space="preserve">"They Are Just Numbers": The Persecution of Lawyers and Activists in Myanmar</w:t>
      </w:r>
      <w:r>
        <w:t xml:space="preserve">. New York: HRW.</w:t>
      </w:r>
      <w:r>
        <w:t xml:space="preserve"> </w:t>
      </w:r>
    </w:p>
    <w:p>
      <w:pPr>
        <w:pStyle w:val="BodyText"/>
      </w:pPr>
      <w:r>
        <w:t xml:space="preserve">This investigative report highlights the specific targeting of legal professionals in Yangon and other major cities. It documents cases where lawyers were arrested for representing clients in politically sensitive cases. For a lawyer operating in Yangon, this text offers crucial context regarding the potential repercussions of high-profile litigation. It underscores the importance of due diligence and risk assessment when taking on cases that may challenge the prevailing authority, providing a stark look at the current climate for the rule of law in the country.</w:t>
      </w:r>
    </w:p>
    <w:p>
      <w:pPr>
        <w:pStyle w:val="BodyText"/>
      </w:pPr>
      <w:r>
        <w:t xml:space="preserve"> </w:t>
      </w:r>
      <w:r>
        <w:t xml:space="preserve">Asian Law Institute. (2018).</w:t>
      </w:r>
      <w:r>
        <w:t xml:space="preserve"> </w:t>
      </w:r>
      <w:r>
        <w:rPr>
          <w:iCs/>
          <w:i/>
        </w:rPr>
        <w:t xml:space="preserve">Myanmar Commercial Law: A Practical Guide for Business and Legal Professionals</w:t>
      </w:r>
      <w:r>
        <w:t xml:space="preserve">. Yangon: ALI.</w:t>
      </w:r>
      <w:r>
        <w:t xml:space="preserve"> </w:t>
      </w:r>
    </w:p>
    <w:p>
      <w:pPr>
        <w:pStyle w:val="BodyText"/>
      </w:pPr>
      <w:r>
        <w:t xml:space="preserve">Given Yangon's status as the commercial hub of Myanmar, this text is indispensable for corporate lawyers and legal advisors. It covers key areas such as company law, contract law, and foreign investment regulations. The guide explains how to navigate the complex bureaucratic landscape of Yangon's business environment, including interactions with the Directorate of Investment and Company Administration (DICA). It is a practical tool for drafting contracts and ensuring compliance with local statutes in a rapidly evolving economic sector.</w:t>
      </w:r>
    </w:p>
    <w:p>
      <w:pPr>
        <w:pStyle w:val="BodyText"/>
      </w:pPr>
      <w:r>
        <w:t xml:space="preserve"> </w:t>
      </w:r>
      <w:r>
        <w:t xml:space="preserve">United Nations Development Programme (UNDP). (2020).</w:t>
      </w:r>
      <w:r>
        <w:t xml:space="preserve"> </w:t>
      </w:r>
      <w:r>
        <w:rPr>
          <w:iCs/>
          <w:i/>
        </w:rPr>
        <w:t xml:space="preserve">Access to Justice in Myanmar: Challenges and Opportunities</w:t>
      </w:r>
      <w:r>
        <w:t xml:space="preserve">. Yangon: UNDP Myanmar.</w:t>
      </w:r>
      <w:r>
        <w:t xml:space="preserve"> </w:t>
      </w:r>
    </w:p>
    <w:p>
      <w:pPr>
        <w:pStyle w:val="BodyText"/>
      </w:pPr>
      <w:r>
        <w:t xml:space="preserve">This publication examines the barriers to justice faced by ordinary citizens in Myanmar, with significant data collected from Yangon. It discusses the role of paralegals, community legal centers, and the formal court system. For lawyers in Yangon interested in public interest law or legal aid, this document provides insights into the gaps in the legal system and opportunities for advocacy. It highlights the disparity between legal theory and practice, offering a roadmap for improving access to justice for marginalized communities in the capital.</w:t>
      </w:r>
    </w:p>
    <w:p>
      <w:pPr>
        <w:pStyle w:val="BodyText"/>
      </w:pPr>
      <w:r>
        <w:t xml:space="preserve"> </w:t>
      </w:r>
      <w:r>
        <w:t xml:space="preserve">The Yangon Law Journal. (2019).</w:t>
      </w:r>
      <w:r>
        <w:t xml:space="preserve"> </w:t>
      </w:r>
      <w:r>
        <w:rPr>
          <w:iCs/>
          <w:i/>
        </w:rPr>
        <w:t xml:space="preserve">Special Issue: Land Law and Dispute Resolution in Urban Myanmar</w:t>
      </w:r>
      <w:r>
        <w:t xml:space="preserve">. Vol. 12, No. 3. Yangon: University of Yangon Law Faculty.</w:t>
      </w:r>
      <w:r>
        <w:t xml:space="preserve"> </w:t>
      </w:r>
    </w:p>
    <w:p>
      <w:pPr>
        <w:pStyle w:val="BodyText"/>
      </w:pPr>
      <w:r>
        <w:t xml:space="preserve">Land disputes are among the most common legal issues in Yangon due to rapid urbanization and development. This academic journal issue compiles articles by leading legal scholars and practitioners on the Transfer of Property Act and the Vacant, Fallow, and Virgin Lands Management Law. It is a critical resource for lawyers handling property transactions, evictions, and land title disputes in Yangon. The articles provide detailed case studies and legal interpretations that are directly applicable to litigation in the Yangon District Courts.</w:t>
      </w:r>
    </w:p>
    <w:p>
      <w:pPr>
        <w:pStyle w:val="BodyText"/>
      </w:pPr>
      <w:r>
        <w:t xml:space="preserve"> </w:t>
      </w:r>
      <w:r>
        <w:t xml:space="preserve">International Bar Association (IBA). (2021).</w:t>
      </w:r>
      <w:r>
        <w:t xml:space="preserve"> </w:t>
      </w:r>
      <w:r>
        <w:rPr>
          <w:iCs/>
          <w:i/>
        </w:rPr>
        <w:t xml:space="preserve">Human Rights in Myanmar: A Toolkit for Lawyers</w:t>
      </w:r>
      <w:r>
        <w:t xml:space="preserve">. London: IBA.</w:t>
      </w:r>
      <w:r>
        <w:t xml:space="preserve"> </w:t>
      </w:r>
    </w:p>
    <w:p>
      <w:pPr>
        <w:pStyle w:val="BodyText"/>
      </w:pPr>
      <w:r>
        <w:t xml:space="preserve">This toolkit is designed to assist lawyers in Myanmar, including those in Yangon, in effectively utilizing international human rights mechanisms. It provides guidance on filing complaints with UN bodies and regional forums. For lawyers facing persecution or seeking to bring international attention to human rights violations in Yangon, this document is an essential strategic resource. It bridges the gap between domestic law and international standards, empowering legal practitioners to advocate for their clients on a global stage.</w:t>
      </w:r>
    </w:p>
    <w:p>
      <w:pPr>
        <w:pStyle w:val="BodyText"/>
      </w:pPr>
      <w:r>
        <w:t xml:space="preserve"> </w:t>
      </w:r>
      <w:r>
        <w:t xml:space="preserve">Myanmar Law Reform Commission. (2017).</w:t>
      </w:r>
      <w:r>
        <w:t xml:space="preserve"> </w:t>
      </w:r>
      <w:r>
        <w:rPr>
          <w:iCs/>
          <w:i/>
        </w:rPr>
        <w:t xml:space="preserve">Report on the Modernization of the Criminal Procedure Code</w:t>
      </w:r>
      <w:r>
        <w:t xml:space="preserve">. Naypyidaw: MLRC.</w:t>
      </w:r>
      <w:r>
        <w:t xml:space="preserve"> </w:t>
      </w:r>
    </w:p>
    <w:p>
      <w:pPr>
        <w:pStyle w:val="BodyText"/>
      </w:pPr>
      <w:r>
        <w:t xml:space="preserve">Although some recommendations remain unimplemented, this report is crucial for understanding the proposed reforms to Myanmar's criminal justice system. For criminal defense lawyers in Yangon, it offers insight into potential changes to bail procedures, trial processes, and evidence handling. The document reflects ongoing debates within the legal community about aligning Myanmar's laws with international best practices. It serves as a reference point for arguing procedural fairness in court and understanding the trajectory of legal reform in the country.</w:t>
      </w:r>
    </w:p>
    <w:p>
      <w:pPr>
        <w:pStyle w:val="BodyText"/>
      </w:pPr>
      <w:r>
        <w:t xml:space="preserve">© 2023 Legal Research Compilation. All rights reserved. This document is for informational purposes only and does not constitute legal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Yangon, Myanmar</dc:title>
  <dc:creator/>
  <dc:language>en</dc:language>
  <cp:keywords/>
  <dcterms:created xsi:type="dcterms:W3CDTF">2026-08-07T09:48:02Z</dcterms:created>
  <dcterms:modified xsi:type="dcterms:W3CDTF">2026-08-07T09:48:02Z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