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Amsterdam,</w:t>
      </w:r>
      <w:r>
        <w:t xml:space="preserve"> </w:t>
      </w:r>
      <w:r>
        <w:t xml:space="preserve">Netherlands</w:t>
      </w:r>
    </w:p>
    <w:bookmarkStart w:id="20" w:name="Xead10d68ef7f0a827b69388ef13b81627690855"/>
    <w:p>
      <w:pPr>
        <w:pStyle w:val="Heading1"/>
      </w:pPr>
      <w:r>
        <w:t xml:space="preserve">Annotated Bibliography: Legal Practice and Lawyer Representation in Amsterdam, Netherlands</w:t>
      </w:r>
    </w:p>
    <w:p>
      <w:pPr>
        <w:pStyle w:val="FirstParagraph"/>
      </w:pPr>
      <w:r>
        <w:t xml:space="preserve">This document provides a curated selection of authoritative sources regarding the role, regulation, and practice of lawyers within the jurisdiction of Amsterdam, Netherlands. The following annotations evaluate resources essential for understanding the Dutch legal framework, the specific duties of a lawyer in the Netherlands, and the procedural nuances of the Amsterdam legal market.</w:t>
      </w:r>
    </w:p>
    <w:bookmarkEnd w:id="20"/>
    <w:bookmarkStart w:id="23" w:name="X0572e3f09fa81ecaefc09353e794c46e425a3d0"/>
    <w:p>
      <w:pPr>
        <w:pStyle w:val="Heading2"/>
      </w:pPr>
      <w:r>
        <w:t xml:space="preserve">Regulatory Framework and Professional Ethics</w:t>
      </w:r>
    </w:p>
    <w:bookmarkStart w:id="21" w:name="X7c8395616bddfd46b4d7582eaf3be8dd51aca29"/>
    <w:p>
      <w:pPr>
        <w:pStyle w:val="Heading3"/>
      </w:pPr>
      <w:r>
        <w:t xml:space="preserve">1. The Dutch Bar Association (Nederlandse Orde van Advocaten)</w:t>
      </w:r>
    </w:p>
    <w:p>
      <w:pPr>
        <w:pStyle w:val="FirstParagraph"/>
      </w:pPr>
      <w:r>
        <w:t xml:space="preserve">Nederlandse Orde van Advocaten (NOvA). (2023).</w:t>
      </w:r>
      <w:r>
        <w:t xml:space="preserve"> </w:t>
      </w:r>
      <w:r>
        <w:rPr>
          <w:iCs/>
          <w:i/>
        </w:rPr>
        <w:t xml:space="preserve">Code of Conduct for Lawyers (Gedragsregels Advocatuur)</w:t>
      </w:r>
      <w:r>
        <w:t xml:space="preserve">. The Hague: NOvA.</w:t>
      </w:r>
    </w:p>
    <w:p>
      <w:pPr>
        <w:pStyle w:val="BodyText"/>
      </w:pPr>
      <w:r>
        <w:t xml:space="preserve">This primary source outlines the mandatory ethical standards and professional obligations for every lawyer practicing in the Netherlands, including those operating in Amsterdam. The document details the core principles of independence, confidentiality, and competence required by Dutch law. For a client or legal scholar in Amsterdam, this text is indispensable for understanding the boundaries of lawyer-client relationships. It specifically addresses conflicts of interest and the duty of loyalty, which are critical considerations when engaging legal counsel in the dense commercial environment of Amsterdam. The annotation highlights that adherence to this code is enforced by the disciplinary councils, ensuring a high standard of integrity within the Amsterdam legal community.</w:t>
      </w:r>
    </w:p>
    <w:bookmarkEnd w:id="21"/>
    <w:bookmarkStart w:id="22" w:name="the-advocatenwet-law-on-lawyers"/>
    <w:p>
      <w:pPr>
        <w:pStyle w:val="Heading3"/>
      </w:pPr>
      <w:r>
        <w:t xml:space="preserve">2. The Advocatenwet (Law on Lawyers)</w:t>
      </w:r>
    </w:p>
    <w:p>
      <w:pPr>
        <w:pStyle w:val="FirstParagraph"/>
      </w:pPr>
      <w:r>
        <w:t xml:space="preserve">Ministry of Justice and Security. (2023).</w:t>
      </w:r>
      <w:r>
        <w:t xml:space="preserve"> </w:t>
      </w:r>
      <w:r>
        <w:rPr>
          <w:iCs/>
          <w:i/>
        </w:rPr>
        <w:t xml:space="preserve">Advocatenwet (Law on Lawyers)</w:t>
      </w:r>
      <w:r>
        <w:t xml:space="preserve">. Staatsblad van het Koninkrijk der Nederlanden.</w:t>
      </w:r>
    </w:p>
    <w:p>
      <w:pPr>
        <w:pStyle w:val="BodyText"/>
      </w:pPr>
      <w:r>
        <w:t xml:space="preserve">The Advocatenwet is the statutory foundation governing the legal profession in the Netherlands. This source is crucial for defining the legal status of a lawyer in Amsterdam. It regulates the requirements for admission to the bar, the structure of law firms, and the disciplinary procedures applicable to legal practitioners. This bibliography entry emphasizes that any lawyer operating in Amsterdam must be registered with the local bar association and comply with these national statutes. The text provides the legal basis for the monopoly on legal representation in court proceedings, clarifying that only qualified lawyers may represent clients before the Amsterdam District Court (Rechtbank Amsterdam).</w:t>
      </w:r>
    </w:p>
    <w:bookmarkEnd w:id="22"/>
    <w:bookmarkEnd w:id="23"/>
    <w:bookmarkStart w:id="26" w:name="X27933d297b7afc7c7983bccf05d7308ad3cc707"/>
    <w:p>
      <w:pPr>
        <w:pStyle w:val="Heading2"/>
      </w:pPr>
      <w:r>
        <w:t xml:space="preserve">Procedural Law and Court Practice in Amsterdam</w:t>
      </w:r>
    </w:p>
    <w:bookmarkStart w:id="24" w:name="Xccba2e4876ab2d1cd93d7021125461538df23f3"/>
    <w:p>
      <w:pPr>
        <w:pStyle w:val="Heading3"/>
      </w:pPr>
      <w:r>
        <w:t xml:space="preserve">3. The Amsterdam District Court (Rechtbank Amsterdam)</w:t>
      </w:r>
    </w:p>
    <w:p>
      <w:pPr>
        <w:pStyle w:val="FirstParagraph"/>
      </w:pPr>
      <w:r>
        <w:t xml:space="preserve">Rechtbank Amsterdam. (2023).</w:t>
      </w:r>
      <w:r>
        <w:t xml:space="preserve"> </w:t>
      </w:r>
      <w:r>
        <w:rPr>
          <w:iCs/>
          <w:i/>
        </w:rPr>
        <w:t xml:space="preserve">Rules of Procedure and Practice Directions</w:t>
      </w:r>
      <w:r>
        <w:t xml:space="preserve">. Amsterdam: Rechtbank Amsterdam.</w:t>
      </w:r>
    </w:p>
    <w:p>
      <w:pPr>
        <w:pStyle w:val="BodyText"/>
      </w:pPr>
      <w:r>
        <w:t xml:space="preserve">This document provides specific procedural guidelines for litigation within the jurisdiction of Amsterdam. It is a vital resource for lawyers and clients navigating civil, criminal, or administrative cases in the city. The text details the specific filing requirements, hearing schedules, and digital submission protocols used by the Amsterdam courts. For a lawyer in Amsterdam, familiarity with these local rules is as important as knowledge of substantive law. The annotation notes that this source helps streamline legal processes, reducing delays and ensuring that legal representation in Amsterdam adheres to the strict timelines and formalities expected by the judiciary.</w:t>
      </w:r>
    </w:p>
    <w:bookmarkEnd w:id="24"/>
    <w:bookmarkStart w:id="25" w:name="X97cc35a26cf3976437137b778e0acfef73a7e1c"/>
    <w:p>
      <w:pPr>
        <w:pStyle w:val="Heading3"/>
      </w:pPr>
      <w:r>
        <w:t xml:space="preserve">4. Dutch Civil Procedure Code (Wetboek van Burgerlijke Rechtsvordering)</w:t>
      </w:r>
    </w:p>
    <w:p>
      <w:pPr>
        <w:pStyle w:val="FirstParagraph"/>
      </w:pPr>
      <w:r>
        <w:t xml:space="preserve">Government of the Netherlands. (2023).</w:t>
      </w:r>
      <w:r>
        <w:t xml:space="preserve"> </w:t>
      </w:r>
      <w:r>
        <w:rPr>
          <w:iCs/>
          <w:i/>
        </w:rPr>
        <w:t xml:space="preserve">Book 2 of the Civil Code: Civil Procedure Code</w:t>
      </w:r>
      <w:r>
        <w:t xml:space="preserve">. Amsterdam: Sdu Uitgevers.</w:t>
      </w:r>
    </w:p>
    <w:p>
      <w:pPr>
        <w:pStyle w:val="BodyText"/>
      </w:pPr>
      <w:r>
        <w:t xml:space="preserve">This comprehensive legal text governs the conduct of civil litigation in the Netherlands. For a lawyer practicing in Amsterdam, this code is the primary reference for initiating lawsuits, serving documents, and enforcing judgments. The annotation highlights its relevance to commercial disputes common in Amsterdam, such as contract breaches and corporate governance issues. It outlines the steps a lawyer must take to represent a client effectively in the Amsterdam legal system, from the initial summons to the final appeal. Understanding this code is essential for any lawyer aiming to provide competent legal advice in the Dutch capital.</w:t>
      </w:r>
    </w:p>
    <w:bookmarkEnd w:id="25"/>
    <w:bookmarkEnd w:id="26"/>
    <w:bookmarkStart w:id="31" w:name="Xa23e9051948d1048d28abd795cc68172a42b7be"/>
    <w:p>
      <w:pPr>
        <w:pStyle w:val="Heading2"/>
      </w:pPr>
      <w:r>
        <w:t xml:space="preserve">Specialized Legal Practice Areas in Amsterdam</w:t>
      </w:r>
    </w:p>
    <w:bookmarkStart w:id="27" w:name="X780806d0845afccc1613ec509ee0c3f51f929a1"/>
    <w:p>
      <w:pPr>
        <w:pStyle w:val="Heading3"/>
      </w:pPr>
      <w:r>
        <w:t xml:space="preserve">5. International Commercial Law in Amsterdam</w:t>
      </w:r>
    </w:p>
    <w:p>
      <w:pPr>
        <w:pStyle w:val="FirstParagraph"/>
      </w:pPr>
      <w:r>
        <w:t xml:space="preserve">Van den Berg, A. J. (2022).</w:t>
      </w:r>
      <w:r>
        <w:t xml:space="preserve"> </w:t>
      </w:r>
      <w:r>
        <w:rPr>
          <w:iCs/>
          <w:i/>
        </w:rPr>
        <w:t xml:space="preserve">International Commercial Litigation in the Netherlands</w:t>
      </w:r>
      <w:r>
        <w:t xml:space="preserve">. Alphen aan den Rijn: Kluwer Law International.</w:t>
      </w:r>
    </w:p>
    <w:p>
      <w:pPr>
        <w:pStyle w:val="BodyText"/>
      </w:pPr>
      <w:r>
        <w:t xml:space="preserve">This scholarly work examines the role of Amsterdam as a hub for international commercial arbitration and litigation. It analyzes how Dutch lawyers handle cross-border disputes, leveraging the Netherlands' reputation for neutrality and legal stability. The text is particularly relevant for lawyers in Amsterdam who represent multinational corporations. It discusses the interaction between Dutch law and international treaties, providing insights into how a lawyer in Amsterdam can navigate complex jurisdictional issues. The annotation suggests this source is valuable for understanding the strategic advantages of choosing Amsterdam for international legal proceedings.</w:t>
      </w:r>
    </w:p>
    <w:bookmarkEnd w:id="27"/>
    <w:bookmarkStart w:id="28" w:name="dutch-immigration-and-asylum-law"/>
    <w:p>
      <w:pPr>
        <w:pStyle w:val="Heading3"/>
      </w:pPr>
      <w:r>
        <w:t xml:space="preserve">6. Dutch Immigration and Asylum Law</w:t>
      </w:r>
    </w:p>
    <w:p>
      <w:pPr>
        <w:pStyle w:val="FirstParagraph"/>
      </w:pPr>
      <w:r>
        <w:t xml:space="preserve">Immigration Law Institute. (2023).</w:t>
      </w:r>
      <w:r>
        <w:t xml:space="preserve"> </w:t>
      </w:r>
      <w:r>
        <w:rPr>
          <w:iCs/>
          <w:i/>
        </w:rPr>
        <w:t xml:space="preserve">Handbook on Dutch Immigration Law</w:t>
      </w:r>
      <w:r>
        <w:t xml:space="preserve">. The Hague: Boom Juridische Uitgevers.</w:t>
      </w:r>
    </w:p>
    <w:p>
      <w:pPr>
        <w:pStyle w:val="BodyText"/>
      </w:pPr>
      <w:r>
        <w:t xml:space="preserve">Given Amsterdam's status as a major entry point for migrants and expatriates, this handbook is a critical resource for lawyers specializing in immigration. It covers the legal procedures for visas, residence permits, and asylum applications within the Netherlands. The text provides detailed guidance on how a lawyer in Amsterdam can assist clients in navigating the complex bureaucracy of the Immigration and Naturalisation Service (IND). The annotation emphasizes the practical utility of this source for legal practitioners dealing with the diverse population of Amsterdam, ensuring compliance with evolving national and EU immigration regulations.</w:t>
      </w:r>
    </w:p>
    <w:bookmarkEnd w:id="28"/>
    <w:bookmarkStart w:id="29" w:name="Xe9d46419254264e6625c7cadea9276b26370845"/>
    <w:p>
      <w:pPr>
        <w:pStyle w:val="Heading3"/>
      </w:pPr>
      <w:r>
        <w:t xml:space="preserve">7. Real Estate and Property Law in Amsterdam</w:t>
      </w:r>
    </w:p>
    <w:p>
      <w:pPr>
        <w:pStyle w:val="FirstParagraph"/>
      </w:pPr>
      <w:r>
        <w:t xml:space="preserve">Dutch Property Law Association. (2023).</w:t>
      </w:r>
      <w:r>
        <w:t xml:space="preserve"> </w:t>
      </w:r>
      <w:r>
        <w:rPr>
          <w:iCs/>
          <w:i/>
        </w:rPr>
        <w:t xml:space="preserve">Principles of Dutch Real Estate Law</w:t>
      </w:r>
      <w:r>
        <w:t xml:space="preserve">. Amsterdam: Wolters Kluwer.</w:t>
      </w:r>
    </w:p>
    <w:p>
      <w:pPr>
        <w:pStyle w:val="BodyText"/>
      </w:pPr>
      <w:r>
        <w:t xml:space="preserve">This publication addresses the specific legal requirements for buying, selling, and renting property in the Netherlands, with a focus on the Amsterdam market. It outlines the role of the lawyer in property transactions, including due diligence, contract drafting, and registration with the Land Registry. The text is essential for lawyers in Amsterdam handling residential and commercial real estate cases. The annotation notes that it provides clarity on local zoning laws and tenant rights, which are frequent areas of dispute in Amsterdam's competitive housing market.</w:t>
      </w:r>
    </w:p>
    <w:bookmarkEnd w:id="29"/>
    <w:bookmarkStart w:id="30" w:name="X27a45b2c4815224a26ac35d7bf712462860ceff"/>
    <w:p>
      <w:pPr>
        <w:pStyle w:val="Heading3"/>
      </w:pPr>
      <w:r>
        <w:t xml:space="preserve">8. Legal Aid and Access to Justice in Amsterdam</w:t>
      </w:r>
    </w:p>
    <w:p>
      <w:pPr>
        <w:pStyle w:val="FirstParagraph"/>
      </w:pPr>
      <w:r>
        <w:t xml:space="preserve">Legal Aid Council (Raad voor Rechtsbijstand). (2023).</w:t>
      </w:r>
      <w:r>
        <w:t xml:space="preserve"> </w:t>
      </w:r>
      <w:r>
        <w:rPr>
          <w:iCs/>
          <w:i/>
        </w:rPr>
        <w:t xml:space="preserve">Guidelines for Legal Aid in the Netherlands</w:t>
      </w:r>
      <w:r>
        <w:t xml:space="preserve">. The Hague: Raad voor Rechtsbijstand.</w:t>
      </w:r>
    </w:p>
    <w:p>
      <w:pPr>
        <w:pStyle w:val="BodyText"/>
      </w:pPr>
      <w:r>
        <w:t xml:space="preserve">This document outlines the criteria and procedures for obtaining legal aid in the Netherlands. It is a vital resource for lawyers in Amsterdam who represent clients with limited financial means. The text explains the income thresholds and eligibility requirements for state-funded legal representation. The annotation highlights the importance of this source for ensuring access to justice in Amsterdam, allowing lawyers to assist vulnerable populations in navigating the legal system. It also details the reimbursement rates and administrative obligations for lawyers providing legal aid services.</w:t>
      </w:r>
    </w:p>
    <w:bookmarkEnd w:id="30"/>
    <w:bookmarkEnd w:id="31"/>
    <w:p>
      <w:pPr>
        <w:pStyle w:val="BodyText"/>
      </w:pPr>
      <w:r>
        <w:t xml:space="preserve">© 2023 Annotated Bibliography on Legal Practice in Amsterdam.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Amsterdam, Netherlands</dc:title>
  <dc:creator/>
  <dc:language>en</dc:language>
  <cp:keywords/>
  <dcterms:created xsi:type="dcterms:W3CDTF">2026-08-07T02:14:45Z</dcterms:created>
  <dcterms:modified xsi:type="dcterms:W3CDTF">2026-08-07T02:14:45Z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