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Legal Frameworks, Professional Practice, and Regulatory Standards for Lawyers in Jeddah, Saudi Arabia</w:t>
      </w:r>
    </w:p>
    <w:bookmarkEnd w:id="20"/>
    <w:p>
      <w:pPr>
        <w:pStyle w:val="BodyText"/>
      </w:pPr>
      <w:r>
        <w:t xml:space="preserve">This annotated bibliography provides a comprehensive overview of essential resources regarding the legal profession within the Kingdom of Saudi Arabia, with a specific focus on the commercial and judicial landscape of Jeddah. As the gateway to the Holy Mosque and a major hub for international trade, Jeddah presents unique legal challenges and opportunities. The following entries cover the regulatory bodies governing lawyers, the transition from Sharia-based jurisprudence to codified commercial laws, and the practical implications for legal practitioners operating in this dynamic environment.</w:t>
      </w:r>
    </w:p>
    <w:bookmarkStart w:id="21" w:name="Xd0402400fffac1aae09b42c8444022119dc52ea"/>
    <w:p>
      <w:pPr>
        <w:pStyle w:val="Heading2"/>
      </w:pPr>
      <w:r>
        <w:t xml:space="preserve">Regulatory Frameworks and Professional Licensing</w:t>
      </w:r>
    </w:p>
    <w:p>
      <w:pPr>
        <w:pStyle w:val="FirstParagraph"/>
      </w:pPr>
      <w:r>
        <w:t xml:space="preserve">Ministry of Justice (Saudi Arabia). (2013).</w:t>
      </w:r>
      <w:r>
        <w:t xml:space="preserve"> </w:t>
      </w:r>
      <w:r>
        <w:rPr>
          <w:iCs/>
          <w:i/>
        </w:rPr>
        <w:t xml:space="preserve">Law of the Legal Profession</w:t>
      </w:r>
      <w:r>
        <w:t xml:space="preserve"> </w:t>
      </w:r>
      <w:r>
        <w:t xml:space="preserve">(Royal Decree No. M/11).</w:t>
      </w:r>
    </w:p>
    <w:p>
      <w:pPr>
        <w:pStyle w:val="BodyText"/>
      </w:pPr>
      <w:r>
        <w:t xml:space="preserve">This primary source is the foundational legislation governing the practice of law in Saudi Arabia. For any lawyer intending to practice in Jeddah, this decree is mandatory reading. It outlines the requirements for obtaining a license, the code of ethics, and the disciplinary procedures enforced by the Ministry of Justice. The document is critical for understanding the distinction between local Saudi lawyers and foreign legal consultants. It establishes the legal authority required to represent clients in Jeddah's courts and arbitration centers, ensuring that practitioners adhere to the Kingdom's strict professional standards.</w:t>
      </w:r>
    </w:p>
    <w:p>
      <w:pPr>
        <w:pStyle w:val="BodyText"/>
      </w:pPr>
      <w:r>
        <w:t xml:space="preserve">Saudi Council of Lawyers. (2023).</w:t>
      </w:r>
      <w:r>
        <w:t xml:space="preserve"> </w:t>
      </w:r>
      <w:r>
        <w:rPr>
          <w:iCs/>
          <w:i/>
        </w:rPr>
        <w:t xml:space="preserve">Code of Professional Conduct and Ethics</w:t>
      </w:r>
      <w:r>
        <w:t xml:space="preserve">.</w:t>
      </w:r>
    </w:p>
    <w:p>
      <w:pPr>
        <w:pStyle w:val="BodyText"/>
      </w:pPr>
      <w:r>
        <w:t xml:space="preserve">Administered by the Saudi Council of Lawyers, this document details the ethical obligations of legal practitioners. In the context of Jeddah, where international business deals are frequent, this code is vital for maintaining client confidentiality and avoiding conflicts of interest. It provides specific guidance on fee structures, client communication, and professional demeanor. For a lawyer operating in Jeddah, adherence to this code is not only a regulatory requirement but also a necessity for building trust with both local Saudi entities and multinational corporations based in the city.</w:t>
      </w:r>
    </w:p>
    <w:bookmarkEnd w:id="21"/>
    <w:bookmarkStart w:id="22" w:name="commercial-law-and-economic-regulations"/>
    <w:p>
      <w:pPr>
        <w:pStyle w:val="Heading2"/>
      </w:pPr>
      <w:r>
        <w:t xml:space="preserve">Commercial Law and Economic Regulations</w:t>
      </w:r>
    </w:p>
    <w:p>
      <w:pPr>
        <w:pStyle w:val="FirstParagraph"/>
      </w:pPr>
      <w:r>
        <w:t xml:space="preserve">Ministry of Commerce (Saudi Arabia). (2019).</w:t>
      </w:r>
      <w:r>
        <w:t xml:space="preserve"> </w:t>
      </w:r>
      <w:r>
        <w:rPr>
          <w:iCs/>
          <w:i/>
        </w:rPr>
        <w:t xml:space="preserve">Saudi Commercial Courts Law</w:t>
      </w:r>
      <w:r>
        <w:t xml:space="preserve"> </w:t>
      </w:r>
      <w:r>
        <w:t xml:space="preserve">(Royal Decree No. M/110).</w:t>
      </w:r>
    </w:p>
    <w:p>
      <w:pPr>
        <w:pStyle w:val="BodyText"/>
      </w:pPr>
      <w:r>
        <w:t xml:space="preserve">This legislation marks a significant shift in the Saudi legal system by establishing specialized commercial courts. For lawyers in Jeddah, a city heavily reliant on trade and logistics, this law is instrumental. It introduces procedural rules that differ from traditional civil courts, offering faster dispute resolution mechanisms. The document is essential for legal professionals handling corporate litigation, bankruptcy, and commercial contracts in Jeddah. It reflects the Kingdom's Vision 2030 goals to enhance the ease of doing business and provides a structured framework for commercial legal practice.</w:t>
      </w:r>
    </w:p>
    <w:p>
      <w:pPr>
        <w:pStyle w:val="BodyText"/>
      </w:pPr>
      <w:r>
        <w:t xml:space="preserve">Saudi Central Bank (SAMA). (2020).</w:t>
      </w:r>
      <w:r>
        <w:t xml:space="preserve"> </w:t>
      </w:r>
      <w:r>
        <w:rPr>
          <w:iCs/>
          <w:i/>
        </w:rPr>
        <w:t xml:space="preserve">Law of the Saudi Central Bank</w:t>
      </w:r>
      <w:r>
        <w:t xml:space="preserve"> </w:t>
      </w:r>
      <w:r>
        <w:t xml:space="preserve">(Royal Decree No. M/53).</w:t>
      </w:r>
    </w:p>
    <w:p>
      <w:pPr>
        <w:pStyle w:val="BodyText"/>
      </w:pPr>
      <w:r>
        <w:t xml:space="preserve">Given Jeddah's status as a financial hub, this law is crucial for lawyers specializing in banking, finance, and fintech. It outlines the regulatory framework for financial institutions and the protection of depositors. Legal practitioners in Jeddah must understand these regulations to advise clients on compliance, lending practices, and financial disputes. The document provides the legal basis for enforcing financial contracts and resolving banking-related issues within the Kingdom's judicial system.</w:t>
      </w:r>
    </w:p>
    <w:p>
      <w:pPr>
        <w:pStyle w:val="BodyText"/>
      </w:pPr>
      <w:r>
        <w:t xml:space="preserve">Ministry of Investment (MISA). (2021).</w:t>
      </w:r>
      <w:r>
        <w:t xml:space="preserve"> </w:t>
      </w:r>
      <w:r>
        <w:rPr>
          <w:iCs/>
          <w:i/>
        </w:rPr>
        <w:t xml:space="preserve">Foreign Investment Law</w:t>
      </w:r>
      <w:r>
        <w:t xml:space="preserve"> </w:t>
      </w:r>
      <w:r>
        <w:t xml:space="preserve">(Royal Decree No. M/50).</w:t>
      </w:r>
    </w:p>
    <w:p>
      <w:pPr>
        <w:pStyle w:val="BodyText"/>
      </w:pPr>
      <w:r>
        <w:t xml:space="preserve">This law is pivotal for lawyers in Jeddah who advise foreign investors entering the Saudi market. It grants foreign investors the same rights and obligations as Saudi nationals in most sectors. The document details the licensing process, profit repatriation rules, and dispute resolution mechanisms. For a lawyer in Jeddah, this resource is indispensable for structuring joint ventures, navigating regulatory approvals, and ensuring compliance with national investment policies.</w:t>
      </w:r>
    </w:p>
    <w:bookmarkEnd w:id="22"/>
    <w:bookmarkStart w:id="23" w:name="dispute-resolution-and-arbitration"/>
    <w:p>
      <w:pPr>
        <w:pStyle w:val="Heading2"/>
      </w:pPr>
      <w:r>
        <w:t xml:space="preserve">Dispute Resolution and Arbitration</w:t>
      </w:r>
    </w:p>
    <w:p>
      <w:pPr>
        <w:pStyle w:val="FirstParagraph"/>
      </w:pPr>
      <w:r>
        <w:t xml:space="preserve">Ministry of Justice (Saudi Arabia). (2012).</w:t>
      </w:r>
      <w:r>
        <w:t xml:space="preserve"> </w:t>
      </w:r>
      <w:r>
        <w:rPr>
          <w:iCs/>
          <w:i/>
        </w:rPr>
        <w:t xml:space="preserve">Arbitration Law</w:t>
      </w:r>
      <w:r>
        <w:t xml:space="preserve"> </w:t>
      </w:r>
      <w:r>
        <w:t xml:space="preserve">(Royal Decree No. M/34).</w:t>
      </w:r>
    </w:p>
    <w:p>
      <w:pPr>
        <w:pStyle w:val="BodyText"/>
      </w:pPr>
      <w:r>
        <w:t xml:space="preserve">This law modernized the arbitration framework in Saudi Arabia, aligning it with international standards such as the UNCITRAL Model Law. For lawyers in Jeddah, where international trade disputes are common, this document is essential. It governs the enforcement of arbitral awards and the conduct of arbitration proceedings. Legal practitioners must be well-versed in this law to effectively represent clients in arbitration cases, whether seated in Jeddah or internationally, and to ensure that arbitration clauses in contracts are enforceable under Saudi law.</w:t>
      </w:r>
    </w:p>
    <w:p>
      <w:pPr>
        <w:pStyle w:val="BodyText"/>
      </w:pPr>
      <w:r>
        <w:t xml:space="preserve">International Chamber of Commerce (ICC). (2021).</w:t>
      </w:r>
      <w:r>
        <w:t xml:space="preserve"> </w:t>
      </w:r>
      <w:r>
        <w:rPr>
          <w:iCs/>
          <w:i/>
        </w:rPr>
        <w:t xml:space="preserve">ICC Rules of Arbitration</w:t>
      </w:r>
      <w:r>
        <w:t xml:space="preserve">.</w:t>
      </w:r>
    </w:p>
    <w:p>
      <w:pPr>
        <w:pStyle w:val="BodyText"/>
      </w:pPr>
      <w:r>
        <w:t xml:space="preserve">While not a Saudi law, this document is highly relevant for lawyers in Jeddah handling international commercial disputes. Many contracts involving Jeddah-based entities include ICC arbitration clauses. Understanding these rules is crucial for legal practitioners to navigate the procedural aspects of international arbitration. This resource complements the Saudi Arbitration Law and provides a global perspective on dispute resolution, which is vital for lawyers advising multinational clients in Jeddah.</w:t>
      </w:r>
    </w:p>
    <w:bookmarkEnd w:id="23"/>
    <w:bookmarkStart w:id="24" w:name="legal-research-and-jurisprudence"/>
    <w:p>
      <w:pPr>
        <w:pStyle w:val="Heading2"/>
      </w:pPr>
      <w:r>
        <w:t xml:space="preserve">Legal Research and Jurisprudence</w:t>
      </w:r>
    </w:p>
    <w:p>
      <w:pPr>
        <w:pStyle w:val="FirstParagraph"/>
      </w:pPr>
      <w:r>
        <w:t xml:space="preserve">Al-Rashid, A. (2020).</w:t>
      </w:r>
      <w:r>
        <w:t xml:space="preserve"> </w:t>
      </w:r>
      <w:r>
        <w:rPr>
          <w:iCs/>
          <w:i/>
        </w:rPr>
        <w:t xml:space="preserve">Saudi Legal System: An Overview</w:t>
      </w:r>
      <w:r>
        <w:t xml:space="preserve">. Riyadh: Dar Al-Salam.</w:t>
      </w:r>
    </w:p>
    <w:p>
      <w:pPr>
        <w:pStyle w:val="BodyText"/>
      </w:pPr>
      <w:r>
        <w:t xml:space="preserve">This scholarly work provides a comprehensive analysis of the Saudi legal system, including the role of Sharia law and recent legal reforms. For lawyers in Jeddah, this book offers valuable insights into the intersection of traditional Islamic jurisprudence and modern statutory law. It is particularly useful for understanding the legal reasoning of Saudi judges and the application of legal principles in various contexts. This resource is essential for legal practitioners seeking a deeper understanding of the legal culture in which they operate.</w:t>
      </w:r>
    </w:p>
    <w:p>
      <w:pPr>
        <w:pStyle w:val="BodyText"/>
      </w:pPr>
      <w:r>
        <w:t xml:space="preserve">World Bank Group. (2022).</w:t>
      </w:r>
      <w:r>
        <w:t xml:space="preserve"> </w:t>
      </w:r>
      <w:r>
        <w:rPr>
          <w:iCs/>
          <w:i/>
        </w:rPr>
        <w:t xml:space="preserve">Doing Business in Saudi Arabia: Legal and Regulatory Environment</w:t>
      </w:r>
      <w:r>
        <w:t xml:space="preserve">.</w:t>
      </w:r>
    </w:p>
    <w:p>
      <w:pPr>
        <w:pStyle w:val="BodyText"/>
      </w:pPr>
      <w:r>
        <w:t xml:space="preserve">This report provides an objective assessment of the legal and regulatory environment for businesses in Saudi Arabia. For lawyers in Jeddah, this document is a valuable tool for advising clients on compliance, risk management, and strategic planning. It highlights key legal reforms and their impact on the business landscape. The report is particularly useful for understanding the practical implications of legal changes and for benchmarking Saudi regulations against international standards.</w:t>
      </w:r>
    </w:p>
    <w:bookmarkEnd w:id="24"/>
    <w:p>
      <w:pPr>
        <w:pStyle w:val="BodyText"/>
      </w:pPr>
      <w:r>
        <w:t xml:space="preserve">© 2023 Legal Research Compilation. All rights reserved. 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Jeddah, Saudi Arabia</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