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Xb68ffd8bf5a4a0437c2ecdbbd3aa8635224a4a6"/>
    <w:p>
      <w:pPr>
        <w:pStyle w:val="Heading1"/>
      </w:pPr>
      <w:r>
        <w:t xml:space="preserve">Annotated Bibliography: The Role of the Lawyer in Riyadh, Saudi Arabia</w:t>
      </w:r>
    </w:p>
    <w:p>
      <w:pPr>
        <w:pStyle w:val="FirstParagraph"/>
      </w:pPr>
      <w:r>
        <w:t xml:space="preserve">A comprehensive review of legal frameworks, professional regulations, and market dynamics affecting legal counsel in the Kingdom's capital.</w:t>
      </w:r>
    </w:p>
    <w:bookmarkEnd w:id="20"/>
    <w:bookmarkStart w:id="21" w:name="introduction"/>
    <w:p>
      <w:pPr>
        <w:pStyle w:val="Heading2"/>
      </w:pPr>
      <w:r>
        <w:t xml:space="preserve">Introduction</w:t>
      </w:r>
    </w:p>
    <w:p>
      <w:pPr>
        <w:pStyle w:val="FirstParagraph"/>
      </w:pPr>
      <w:r>
        <w:t xml:space="preserve">The legal landscape in Saudi Arabia is undergoing a profound transformation, driven by Vision 2030 and the transition from a purely Sharia-based system to a codified statutory framework. Riyadh, as the political and economic capital, serves as the epicenter of this evolution. For any individual or entity seeking legal counsel, understanding the specific regulatory environment governing a lawyer in Riyadh is paramount. This annotated bibliography compiles essential resources regarding the Saudi Center for Legal Profession (SCLP), the Ministry of Justice, and the broader implications of recent legal reforms on the practice of law in the Kingdom.</w:t>
      </w:r>
    </w:p>
    <w:bookmarkEnd w:id="21"/>
    <w:bookmarkStart w:id="25" w:name="X283cdc776d05c95e5c98d69ab8663f727bc4414"/>
    <w:p>
      <w:pPr>
        <w:pStyle w:val="Heading2"/>
      </w:pPr>
      <w:r>
        <w:t xml:space="preserve">Regulatory Framework and Professional Licensing</w:t>
      </w:r>
    </w:p>
    <w:bookmarkStart w:id="22" w:name="X3e66e4e3f4f40fdbdfe76996a68aa62d22e6f5a"/>
    <w:p>
      <w:pPr>
        <w:pStyle w:val="Heading3"/>
      </w:pPr>
      <w:r>
        <w:t xml:space="preserve">1. The Saudi Center for Legal Profession (SCLP)</w:t>
      </w:r>
    </w:p>
    <w:p>
      <w:pPr>
        <w:pStyle w:val="FirstParagraph"/>
      </w:pPr>
      <w:r>
        <w:t xml:space="preserve">Saudi Center for Legal Profession. (2023).</w:t>
      </w:r>
      <w:r>
        <w:t xml:space="preserve"> </w:t>
      </w:r>
      <w:r>
        <w:rPr>
          <w:iCs/>
          <w:i/>
        </w:rPr>
        <w:t xml:space="preserve">Law of the Saudi Center for Legal Profession and its Implementing Regulations</w:t>
      </w:r>
      <w:r>
        <w:t xml:space="preserve">. Riyadh: SCLP Official Publications.</w:t>
      </w:r>
    </w:p>
    <w:p>
      <w:pPr>
        <w:pStyle w:val="BodyText"/>
      </w:pPr>
      <w:r>
        <w:t xml:space="preserve">This primary source outlines the establishment and mandate of the SCLP, the regulatory body responsible for overseeing the legal profession in Saudi Arabia. The document details the requirements for obtaining a license to practice as a lawyer in Riyadh and other regions. It is critical for understanding the distinction between local Saudi lawyers and foreign legal consultants. The text emphasizes the SCLP's role in maintaining ethical standards, managing continuing legal education, and handling disciplinary actions. For a client in Riyadh, this document confirms the legitimacy of a lawyer's credentials and the regulatory protections available to them.</w:t>
      </w:r>
    </w:p>
    <w:bookmarkEnd w:id="22"/>
    <w:bookmarkStart w:id="23" w:name="X742f4a216255f54afe8de4112adc91b890c1104"/>
    <w:p>
      <w:pPr>
        <w:pStyle w:val="Heading3"/>
      </w:pPr>
      <w:r>
        <w:t xml:space="preserve">2. Ministry of Justice: Lawyer Licensing System</w:t>
      </w:r>
    </w:p>
    <w:p>
      <w:pPr>
        <w:pStyle w:val="FirstParagraph"/>
      </w:pPr>
      <w:r>
        <w:t xml:space="preserve">Ministry of Justice, Kingdom of Saudi Arabia. (2022).</w:t>
      </w:r>
      <w:r>
        <w:t xml:space="preserve"> </w:t>
      </w:r>
      <w:r>
        <w:rPr>
          <w:iCs/>
          <w:i/>
        </w:rPr>
        <w:t xml:space="preserve">Guidelines for Lawyer Licensing and Practice</w:t>
      </w:r>
      <w:r>
        <w:t xml:space="preserve">. Riyadh: MoJ Digital Services.</w:t>
      </w:r>
    </w:p>
    <w:p>
      <w:pPr>
        <w:pStyle w:val="BodyText"/>
      </w:pPr>
      <w:r>
        <w:t xml:space="preserve">This government publication provides the procedural roadmap for becoming a licensed lawyer in the Kingdom. It details the educational prerequisites, the mandatory training period, and the licensing examination administered by the SCLP. The document is particularly relevant for understanding the rigorous vetting process that ensures lawyers in Riyadh are qualified to represent clients in the specialized courts, including the newly established commercial and labor courts. It highlights the shift toward a more transparent and merit-based system for legal practitioners.</w:t>
      </w:r>
    </w:p>
    <w:bookmarkEnd w:id="23"/>
    <w:bookmarkStart w:id="24" w:name="foreign-legal-consultants-regulations"/>
    <w:p>
      <w:pPr>
        <w:pStyle w:val="Heading3"/>
      </w:pPr>
      <w:r>
        <w:t xml:space="preserve">3. Foreign Legal Consultants Regulations</w:t>
      </w:r>
    </w:p>
    <w:p>
      <w:pPr>
        <w:pStyle w:val="FirstParagraph"/>
      </w:pPr>
      <w:r>
        <w:t xml:space="preserve">Saudi Center for Legal Profession. (2021).</w:t>
      </w:r>
      <w:r>
        <w:t xml:space="preserve"> </w:t>
      </w:r>
      <w:r>
        <w:rPr>
          <w:iCs/>
          <w:i/>
        </w:rPr>
        <w:t xml:space="preserve">Regulations for the Practice of Foreign Legal Consultants</w:t>
      </w:r>
      <w:r>
        <w:t xml:space="preserve">. Riyadh: SCLP.</w:t>
      </w:r>
    </w:p>
    <w:p>
      <w:pPr>
        <w:pStyle w:val="BodyText"/>
      </w:pPr>
      <w:r>
        <w:t xml:space="preserve">As Riyadh attracts significant foreign direct investment, the demand for international legal expertise has surged. This document governs the practice of foreign lawyers who are not Saudi nationals. It stipulates that foreign legal consultants can advise on their home jurisdiction's law and international law but cannot represent clients in Saudi courts or advise on Saudi law. This distinction is vital for multinational corporations operating in Riyadh, as it dictates how they must structure their legal teams, often requiring a partnership between a foreign consultant and a local Saudi lawyer.</w:t>
      </w:r>
    </w:p>
    <w:bookmarkEnd w:id="24"/>
    <w:bookmarkEnd w:id="25"/>
    <w:bookmarkStart w:id="29" w:name="substantive-law-and-court-systems"/>
    <w:p>
      <w:pPr>
        <w:pStyle w:val="Heading2"/>
      </w:pPr>
      <w:r>
        <w:t xml:space="preserve">Substantive Law and Court Systems</w:t>
      </w:r>
    </w:p>
    <w:bookmarkStart w:id="26" w:name="the-civil-transactions-law"/>
    <w:p>
      <w:pPr>
        <w:pStyle w:val="Heading3"/>
      </w:pPr>
      <w:r>
        <w:t xml:space="preserve">4. The Civil Transactions Law</w:t>
      </w:r>
    </w:p>
    <w:p>
      <w:pPr>
        <w:pStyle w:val="FirstParagraph"/>
      </w:pPr>
      <w:r>
        <w:t xml:space="preserve">Royal Decree No. M/191. (2023).</w:t>
      </w:r>
      <w:r>
        <w:t xml:space="preserve"> </w:t>
      </w:r>
      <w:r>
        <w:rPr>
          <w:iCs/>
          <w:i/>
        </w:rPr>
        <w:t xml:space="preserve">The Civil Transactions Law of the Kingdom of Saudi Arabia</w:t>
      </w:r>
      <w:r>
        <w:t xml:space="preserve">. Riyadh: Official Gazette.</w:t>
      </w:r>
    </w:p>
    <w:p>
      <w:pPr>
        <w:pStyle w:val="BodyText"/>
      </w:pPr>
      <w:r>
        <w:t xml:space="preserve">This landmark legislation represents a monumental shift in Saudi jurisprudence. It codifies civil law, covering contracts, torts, and property rights, which were previously based largely on judicial discretion and Sharia principles. For a lawyer in Riyadh, this law provides a predictable statutory framework for drafting contracts and litigating civil disputes. It is an essential reference for understanding the rights and obligations of parties in commercial transactions within the capital, reducing legal uncertainty for businesses and individuals alike.</w:t>
      </w:r>
    </w:p>
    <w:bookmarkEnd w:id="26"/>
    <w:bookmarkStart w:id="27" w:name="the-commercial-courts-law"/>
    <w:p>
      <w:pPr>
        <w:pStyle w:val="Heading3"/>
      </w:pPr>
      <w:r>
        <w:t xml:space="preserve">5. The Commercial Courts Law</w:t>
      </w:r>
    </w:p>
    <w:p>
      <w:pPr>
        <w:pStyle w:val="FirstParagraph"/>
      </w:pPr>
      <w:r>
        <w:t xml:space="preserve">Royal Decree No. M/129. (2021).</w:t>
      </w:r>
      <w:r>
        <w:t xml:space="preserve"> </w:t>
      </w:r>
      <w:r>
        <w:rPr>
          <w:iCs/>
          <w:i/>
        </w:rPr>
        <w:t xml:space="preserve">The Commercial Courts Law</w:t>
      </w:r>
      <w:r>
        <w:t xml:space="preserve">. Riyadh: Official Gazette.</w:t>
      </w:r>
    </w:p>
    <w:p>
      <w:pPr>
        <w:pStyle w:val="BodyText"/>
      </w:pPr>
      <w:r>
        <w:t xml:space="preserve">This law establishes specialized commercial courts in major cities, including Riyadh, to handle business-related disputes. It introduces procedural rules that are more efficient and aligned with international standards compared to general courts. The document outlines the jurisdiction of these courts, the qualifications of judges, and the procedures for filing cases. For a lawyer practicing in Riyadh, mastery of this law is essential for representing clients in commercial litigation, arbitration, and bankruptcy proceedings.</w:t>
      </w:r>
    </w:p>
    <w:bookmarkEnd w:id="27"/>
    <w:bookmarkStart w:id="28" w:name="the-labor-law"/>
    <w:p>
      <w:pPr>
        <w:pStyle w:val="Heading3"/>
      </w:pPr>
      <w:r>
        <w:t xml:space="preserve">6. The Labor Law</w:t>
      </w:r>
    </w:p>
    <w:p>
      <w:pPr>
        <w:pStyle w:val="FirstParagraph"/>
      </w:pPr>
      <w:r>
        <w:t xml:space="preserve">Royal Decree No. M/51. (2005, amended 2021).</w:t>
      </w:r>
      <w:r>
        <w:t xml:space="preserve"> </w:t>
      </w:r>
      <w:r>
        <w:rPr>
          <w:iCs/>
          <w:i/>
        </w:rPr>
        <w:t xml:space="preserve">The Labor Law of the Kingdom of Saudi Arabia</w:t>
      </w:r>
      <w:r>
        <w:t xml:space="preserve">. Riyadh: Ministry of Human Resources and Social Development.</w:t>
      </w:r>
    </w:p>
    <w:p>
      <w:pPr>
        <w:pStyle w:val="BodyText"/>
      </w:pPr>
      <w:r>
        <w:t xml:space="preserve">This comprehensive statute governs the relationship between employers and employees in the private sector. It covers employment contracts, working hours, leave, termination, and dispute resolution. Given the diverse workforce in Riyadh, this law is frequently invoked by lawyers representing both local and expatriate workers. The recent amendments reflect the Kingdom's efforts to improve labor rights and align with international standards, making it a dynamic area of legal practice in the capital.</w:t>
      </w:r>
    </w:p>
    <w:bookmarkEnd w:id="28"/>
    <w:bookmarkEnd w:id="29"/>
    <w:bookmarkStart w:id="32" w:name="X06380a4ddb6ea9a1d7b58150c5afde8fbdd8d1c"/>
    <w:p>
      <w:pPr>
        <w:pStyle w:val="Heading2"/>
      </w:pPr>
      <w:r>
        <w:t xml:space="preserve">Market Dynamics and Professional Development</w:t>
      </w:r>
    </w:p>
    <w:bookmarkStart w:id="30" w:name="legal-market-report-saudi-arabia"/>
    <w:p>
      <w:pPr>
        <w:pStyle w:val="Heading3"/>
      </w:pPr>
      <w:r>
        <w:t xml:space="preserve">7. Legal Market Report: Saudi Arabia</w:t>
      </w:r>
    </w:p>
    <w:p>
      <w:pPr>
        <w:pStyle w:val="FirstParagraph"/>
      </w:pPr>
      <w:r>
        <w:t xml:space="preserve">Chambers and Partners. (2023).</w:t>
      </w:r>
      <w:r>
        <w:t xml:space="preserve"> </w:t>
      </w:r>
      <w:r>
        <w:rPr>
          <w:iCs/>
          <w:i/>
        </w:rPr>
        <w:t xml:space="preserve">Saudi Arabia Legal Guide: Riyadh Market Overview</w:t>
      </w:r>
      <w:r>
        <w:t xml:space="preserve">. London: Chambers Global.</w:t>
      </w:r>
    </w:p>
    <w:p>
      <w:pPr>
        <w:pStyle w:val="BodyText"/>
      </w:pPr>
      <w:r>
        <w:t xml:space="preserve">This independent market analysis provides insights into the competitive landscape of law firms in Riyadh. It ranks leading firms and lawyers based on client feedback and peer review. The report highlights key practice areas such as construction, energy, and financial services, which are dominant in Riyadh's economy. It also discusses the impact of Vision 2030 on legal demand, noting the increasing complexity of transactions and the growing need for specialized legal counsel. This resource is valuable for clients seeking to identify top-tier legal representation in the city.</w:t>
      </w:r>
    </w:p>
    <w:bookmarkEnd w:id="30"/>
    <w:bookmarkStart w:id="31" w:name="X49a2ce0f725294d454ffae43dbcdbebfb5cde9f"/>
    <w:p>
      <w:pPr>
        <w:pStyle w:val="Heading3"/>
      </w:pPr>
      <w:r>
        <w:t xml:space="preserve">8. Vision 2030: Judicial Sector Transformation</w:t>
      </w:r>
    </w:p>
    <w:p>
      <w:pPr>
        <w:pStyle w:val="FirstParagraph"/>
      </w:pPr>
      <w:r>
        <w:t xml:space="preserve">Ministry of Justice. (2020).</w:t>
      </w:r>
      <w:r>
        <w:t xml:space="preserve"> </w:t>
      </w:r>
      <w:r>
        <w:rPr>
          <w:iCs/>
          <w:i/>
        </w:rPr>
        <w:t xml:space="preserve">Judicial Sector Transformation Program: Strategic Plan</w:t>
      </w:r>
      <w:r>
        <w:t xml:space="preserve">. Riyadh: MoJ.</w:t>
      </w:r>
    </w:p>
    <w:p>
      <w:pPr>
        <w:pStyle w:val="BodyText"/>
      </w:pPr>
      <w:r>
        <w:t xml:space="preserve">This strategic document outlines the Ministry of Justice's roadmap for modernizing the judicial system in line with Vision 2030. It details initiatives such as the digitization of court processes, the establishment of specialized courts, and the enhancement of legal education. For a lawyer in Riyadh, this plan signals a future of greater efficiency, transparency, and accessibility in the legal system. It underscores the importance of adapting to new technologies and procedural changes to remain effective in the evolving legal environment.</w:t>
      </w:r>
    </w:p>
    <w:bookmarkEnd w:id="31"/>
    <w:bookmarkEnd w:id="32"/>
    <w:p>
      <w:pPr>
        <w:pStyle w:val="BodyText"/>
      </w:pPr>
      <w:r>
        <w:t xml:space="preserve">© 2023 Annotated Bibliography on Legal Practice in Riyadh. All rights reserved. This document is for informational purposes only and does not constitute legal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Riyadh, Saudi Arabia</dc:title>
  <dc:creator/>
  <dc:language>en</dc:language>
  <cp:keywords/>
  <dcterms:created xsi:type="dcterms:W3CDTF">2026-08-06T23:01:45Z</dcterms:created>
  <dcterms:modified xsi:type="dcterms:W3CDTF">2026-08-06T23:01:45Z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