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Barcelona,</w:t>
      </w:r>
      <w:r>
        <w:t xml:space="preserve"> </w:t>
      </w:r>
      <w:r>
        <w:t xml:space="preserve">Spain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Practice of the Lawyer in Spain Barcelona</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legal profession in Spain, with a specific focus on the jurisdiction of Barcelona. It covers regulatory frameworks, professional ethics, the structure of the Bar Association, and the unique legal environment of Catalonia. These sources are critical for understanding how a lawyer operates within the Spanish civil law system while navigating the specific administrative and cultural landscape of Barcelona.</w:t>
      </w:r>
    </w:p>
    <w:bookmarkStart w:id="21" w:name="X0572e3f09fa81ecaefc09353e794c46e425a3d0"/>
    <w:p>
      <w:pPr>
        <w:pStyle w:val="Heading2"/>
      </w:pPr>
      <w:r>
        <w:t xml:space="preserve">Regulatory Framework and Professional Ethics</w:t>
      </w:r>
    </w:p>
    <w:p>
      <w:pPr>
        <w:pStyle w:val="FirstParagraph"/>
      </w:pPr>
      <w:r>
        <w:t xml:space="preserve">Consejo General de la Abogacía Española. (2019).</w:t>
      </w:r>
      <w:r>
        <w:t xml:space="preserve"> </w:t>
      </w:r>
      <w:r>
        <w:rPr>
          <w:iCs/>
          <w:i/>
        </w:rPr>
        <w:t xml:space="preserve">Código Deontológico de la Abogacía Española</w:t>
      </w:r>
      <w:r>
        <w:t xml:space="preserve">. Madrid: CGAE.</w:t>
      </w:r>
    </w:p>
    <w:p>
      <w:pPr>
        <w:pStyle w:val="BodyText"/>
      </w:pPr>
      <w:r>
        <w:t xml:space="preserve">This foundational document establishes the ethical code for all lawyers practicing in Spain. For a lawyer in Barcelona, this code is the primary reference for professional conduct, confidentiality, and conflict of interest management. The annotation highlights that while the code is national, its application in Barcelona is strictly enforced by the local Bar Association. It provides the necessary framework for understanding the duties of a Spanish lawyer towards clients, the courts, and the administration of justice.</w:t>
      </w:r>
    </w:p>
    <w:p>
      <w:pPr>
        <w:pStyle w:val="BodyText"/>
      </w:pPr>
      <w:r>
        <w:t xml:space="preserve">Ley 34/2006, de 30 de octubre, del Abogado. (2006).</w:t>
      </w:r>
      <w:r>
        <w:t xml:space="preserve"> </w:t>
      </w:r>
      <w:r>
        <w:rPr>
          <w:iCs/>
          <w:i/>
        </w:rPr>
        <w:t xml:space="preserve">Boletín Oficial del Estado</w:t>
      </w:r>
      <w:r>
        <w:t xml:space="preserve">, 264, 37601-37616.</w:t>
      </w:r>
    </w:p>
    <w:p>
      <w:pPr>
        <w:pStyle w:val="BodyText"/>
      </w:pPr>
      <w:r>
        <w:t xml:space="preserve">Known as the "Lawyer's Law," this statute defines the legal status of the profession in Spain. It outlines the requirements for admission to the bar, the rights of lawyers, and the organization of the profession. For legal practitioners in Barcelona, this law is crucial as it governs their professional identity and the administrative procedures required to practice. It serves as the legislative backbone that supports the autonomy of the lawyer within the Spanish legal system.</w:t>
      </w:r>
    </w:p>
    <w:bookmarkEnd w:id="21"/>
    <w:bookmarkStart w:id="22" w:name="the-bar-association-of-barcelona-icab"/>
    <w:p>
      <w:pPr>
        <w:pStyle w:val="Heading2"/>
      </w:pPr>
      <w:r>
        <w:t xml:space="preserve">The Bar Association of Barcelona (ICAB)</w:t>
      </w:r>
    </w:p>
    <w:p>
      <w:pPr>
        <w:pStyle w:val="FirstParagraph"/>
      </w:pPr>
      <w:r>
        <w:t xml:space="preserve">Il·lustre Col·legi de l'Advocacia de Barcelona (ICAB). (2022).</w:t>
      </w:r>
      <w:r>
        <w:t xml:space="preserve"> </w:t>
      </w:r>
      <w:r>
        <w:rPr>
          <w:iCs/>
          <w:i/>
        </w:rPr>
        <w:t xml:space="preserve">Normes de Funcionament i Estatuts</w:t>
      </w:r>
      <w:r>
        <w:t xml:space="preserve">. Barcelona: ICAB.</w:t>
      </w:r>
    </w:p>
    <w:p>
      <w:pPr>
        <w:pStyle w:val="BodyText"/>
      </w:pPr>
      <w:r>
        <w:t xml:space="preserve">This document details the statutes and operational norms of the Bar Association of Barcelona. As the governing body for lawyers in the city, the ICAB plays a pivotal role in the daily practice of law. This source is essential for understanding the local requirements for registration, continuing legal education, and disciplinary procedures specific to Barcelona. It reflects the unique Catalan administrative context and the bilingual nature of the legal profession in the region.</w:t>
      </w:r>
    </w:p>
    <w:p>
      <w:pPr>
        <w:pStyle w:val="BodyText"/>
      </w:pPr>
      <w:r>
        <w:t xml:space="preserve">ICAB. (2023).</w:t>
      </w:r>
      <w:r>
        <w:t xml:space="preserve"> </w:t>
      </w:r>
      <w:r>
        <w:rPr>
          <w:iCs/>
          <w:i/>
        </w:rPr>
        <w:t xml:space="preserve">Guia Pràctica per a l'Exercici de la Professions Jurídica a Barcelona</w:t>
      </w:r>
      <w:r>
        <w:t xml:space="preserve">. Retrieved from https://www.icab.cat</w:t>
      </w:r>
    </w:p>
    <w:p>
      <w:pPr>
        <w:pStyle w:val="BodyText"/>
      </w:pPr>
      <w:r>
        <w:t xml:space="preserve">This practical guide offers insights into the specific challenges and opportunities for lawyers in Barcelona. It covers topics such as the use of Catalan and Spanish in legal proceedings, the structure of local courts, and the integration of foreign lawyers. For anyone seeking to practice law in Barcelona, this resource provides actionable information on navigating the local legal infrastructure and maintaining compliance with regional regulations.</w:t>
      </w:r>
    </w:p>
    <w:bookmarkEnd w:id="22"/>
    <w:bookmarkStart w:id="23" w:name="X405572c7af6a02c391b377c1c396fcf87d9c353"/>
    <w:p>
      <w:pPr>
        <w:pStyle w:val="Heading2"/>
      </w:pPr>
      <w:r>
        <w:t xml:space="preserve">Legal Practice in Catalonia and Barcelona</w:t>
      </w:r>
    </w:p>
    <w:p>
      <w:pPr>
        <w:pStyle w:val="FirstParagraph"/>
      </w:pPr>
      <w:r>
        <w:t xml:space="preserve">Tribunal Superior de Justícia de Catalunya. (2021).</w:t>
      </w:r>
      <w:r>
        <w:t xml:space="preserve"> </w:t>
      </w:r>
      <w:r>
        <w:rPr>
          <w:iCs/>
          <w:i/>
        </w:rPr>
        <w:t xml:space="preserve">Organigrama i Funcions dels Òrgans Judicials</w:t>
      </w:r>
      <w:r>
        <w:t xml:space="preserve">. Barcelona: TSJC.</w:t>
      </w:r>
    </w:p>
    <w:p>
      <w:pPr>
        <w:pStyle w:val="BodyText"/>
      </w:pPr>
      <w:r>
        <w:t xml:space="preserve">This document outlines the structure of the judiciary in Catalonia, including the High Court of Justice of Catalonia (TSJC). For a lawyer in Barcelona, understanding this hierarchy is vital for effective litigation and legal strategy. It details the jurisdiction of various courts and the procedures for appeals, providing a clear map of the judicial landscape in which Barcelona-based lawyers operate.</w:t>
      </w:r>
    </w:p>
    <w:p>
      <w:pPr>
        <w:pStyle w:val="BodyText"/>
      </w:pPr>
      <w:r>
        <w:t xml:space="preserve">Generalitat de Catalunya. (2020).</w:t>
      </w:r>
      <w:r>
        <w:t xml:space="preserve"> </w:t>
      </w:r>
      <w:r>
        <w:rPr>
          <w:iCs/>
          <w:i/>
        </w:rPr>
        <w:t xml:space="preserve">Llei 1/2019, de 18 de gener, de la Generalitat</w:t>
      </w:r>
      <w:r>
        <w:t xml:space="preserve">. Barcelona: DOGC.</w:t>
      </w:r>
    </w:p>
    <w:p>
      <w:pPr>
        <w:pStyle w:val="BodyText"/>
      </w:pPr>
      <w:r>
        <w:t xml:space="preserve">This law defines the institutional framework of the Catalan government and its relationship with the Spanish state. For lawyers in Barcelona, particularly those involved in administrative or constitutional law, this document is critical. It highlights the devolved powers of the Catalan government and the legal implications for local governance, affecting areas such as taxation, education, and public administration.</w:t>
      </w:r>
    </w:p>
    <w:bookmarkEnd w:id="23"/>
    <w:bookmarkStart w:id="24" w:name="Xec877b39e4dde98a31cb65549eb947db607dc88"/>
    <w:p>
      <w:pPr>
        <w:pStyle w:val="Heading2"/>
      </w:pPr>
      <w:r>
        <w:t xml:space="preserve">International and Comparative Perspectives</w:t>
      </w:r>
    </w:p>
    <w:p>
      <w:pPr>
        <w:pStyle w:val="FirstParagraph"/>
      </w:pPr>
      <w:r>
        <w:t xml:space="preserve">European Commission. (2022).</w:t>
      </w:r>
      <w:r>
        <w:t xml:space="preserve"> </w:t>
      </w:r>
      <w:r>
        <w:rPr>
          <w:iCs/>
          <w:i/>
        </w:rPr>
        <w:t xml:space="preserve">Justice Scoreboard: National Justice Systems</w:t>
      </w:r>
      <w:r>
        <w:t xml:space="preserve">. Brussels: EC.</w:t>
      </w:r>
    </w:p>
    <w:p>
      <w:pPr>
        <w:pStyle w:val="BodyText"/>
      </w:pPr>
      <w:r>
        <w:t xml:space="preserve">This report provides a comparative analysis of justice systems across the European Union, including Spain. It offers valuable data on the efficiency, quality, and independence of the Spanish legal system. For lawyers in Barcelona, this source is useful for understanding how the local legal environment compares to other European jurisdictions, which is particularly relevant for cross-border legal practice and international clients.</w:t>
      </w:r>
    </w:p>
    <w:p>
      <w:pPr>
        <w:pStyle w:val="BodyText"/>
      </w:pPr>
      <w:r>
        <w:t xml:space="preserve">World Justice Project. (2023).</w:t>
      </w:r>
      <w:r>
        <w:t xml:space="preserve"> </w:t>
      </w:r>
      <w:r>
        <w:rPr>
          <w:iCs/>
          <w:i/>
        </w:rPr>
        <w:t xml:space="preserve">Rule of Law Index: Spain</w:t>
      </w:r>
      <w:r>
        <w:t xml:space="preserve">. Washington, DC: WJP.</w:t>
      </w:r>
    </w:p>
    <w:p>
      <w:pPr>
        <w:pStyle w:val="BodyText"/>
      </w:pPr>
      <w:r>
        <w:t xml:space="preserve">The Rule of Law Index assesses the adherence to the rule of law in various countries, including Spain. This report evaluates factors such as constraints on government powers, absence of corruption, and fundamental rights. For lawyers in Barcelona, this index provides a broader context for understanding the strengths and weaknesses of the Spanish legal system, which can inform legal advocacy and policy recommendations.</w:t>
      </w:r>
    </w:p>
    <w:p>
      <w:pPr>
        <w:pStyle w:val="BodyText"/>
      </w:pPr>
      <w:r>
        <w:rPr>
          <w:bCs/>
          <w:b/>
        </w:rPr>
        <w:t xml:space="preserve">Note:</w:t>
      </w:r>
      <w:r>
        <w:t xml:space="preserve"> </w:t>
      </w:r>
      <w:r>
        <w:t xml:space="preserve">This annotated bibliography is intended for informational purposes. Legal professionals should consult the original sources and seek legal advice for specific cases.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Barcelona, Spain</dc:title>
  <dc:creator/>
  <dc:language>en</dc:language>
  <cp:keywords/>
  <dcterms:created xsi:type="dcterms:W3CDTF">2026-08-06T23:01:44Z</dcterms:created>
  <dcterms:modified xsi:type="dcterms:W3CDTF">2026-08-06T23:01:44Z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