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Valencia,</w:t>
      </w:r>
      <w:r>
        <w:t xml:space="preserve"> </w:t>
      </w:r>
      <w:r>
        <w:t xml:space="preserve">Spain</w:t>
      </w:r>
    </w:p>
    <w:bookmarkStart w:id="20" w:name="Xeabaca3fa0c03dd568dcd79eb0c26895ff1710d"/>
    <w:p>
      <w:pPr>
        <w:pStyle w:val="Heading1"/>
      </w:pPr>
      <w:r>
        <w:t xml:space="preserve">Annotated Bibliography: Legal Practice and the Lawyer in Valencia, Spain</w:t>
      </w:r>
    </w:p>
    <w:p>
      <w:pPr>
        <w:pStyle w:val="FirstParagraph"/>
      </w:pPr>
      <w:r>
        <w:t xml:space="preserve">This annotated bibliography provides a comprehensive overview of essential resources regarding the legal profession in Spain, with a specific focus on the autonomous community of Valencia. It addresses the regulatory framework, professional ethics, and practical considerations for a lawyer operating within the Valencian jurisdiction. The selected sources cover the Spanish Civil Code, the Statute of Autonomy of the Valencian Community, and the specific regulations governing the Colegio de Abogados de Valencia. These references are critical for understanding the dual nature of legal practice in this region, where national Spanish law intersects with local Valencian legislation.</w:t>
      </w:r>
    </w:p>
    <w:p>
      <w:pPr>
        <w:pStyle w:val="BodyText"/>
      </w:pPr>
      <w:r>
        <w:t xml:space="preserve"> </w:t>
      </w:r>
      <w:r>
        <w:t xml:space="preserve">Boletín Oficial del Estado (BOE). (1978). Constitución Española [Spanish Constitution]. BOE núm. 311, de 29 de diciembre de 1978.</w:t>
      </w:r>
      <w:r>
        <w:t xml:space="preserve"> </w:t>
      </w:r>
    </w:p>
    <w:p>
      <w:pPr>
        <w:pStyle w:val="BodyText"/>
      </w:pPr>
      <w:r>
        <w:t xml:space="preserve">The Spanish Constitution is the supreme law of the land and the foundational text for any lawyer practicing in Spain, including Valencia. This document establishes the structure of the Spanish state as a social and democratic state under the rule of law. For a lawyer in Valencia, understanding the Constitution is vital as it defines the distribution of powers between the central government and the autonomous communities. Specifically, it outlines the rights to legal defense and the organization of the judiciary, which form the bedrock of legal practice. Any legal argument presented in a Valencian court must ultimately align with the principles enshrined in this text.</w:t>
      </w:r>
    </w:p>
    <w:p>
      <w:pPr>
        <w:pStyle w:val="BodyText"/>
      </w:pPr>
      <w:r>
        <w:t xml:space="preserve"> </w:t>
      </w:r>
      <w:r>
        <w:t xml:space="preserve">Cortes Valencianas. (1982). Estatuto de Autonomía para la Comunidad Valenciana [Statute of Autonomy for the Valencian Community]. Ley Orgánica 5/1982, de 1 de julio.</w:t>
      </w:r>
      <w:r>
        <w:t xml:space="preserve"> </w:t>
      </w:r>
    </w:p>
    <w:p>
      <w:pPr>
        <w:pStyle w:val="BodyText"/>
      </w:pPr>
      <w:r>
        <w:t xml:space="preserve">This organic law is the fundamental normative text of the Valencian Community. For a lawyer practicing in Valencia, this document is indispensable as it delineates the specific competencies of the regional government, particularly in areas such as civil law, urban planning, and environmental protection. The Statute recognizes the specific legal personality of the Valencian Community and regulates the use of the Valencian language in legal proceedings. A competent lawyer in this region must be proficient in navigating the intersection between this Statute and national legislation to effectively represent clients in regional matters.</w:t>
      </w:r>
    </w:p>
    <w:p>
      <w:pPr>
        <w:pStyle w:val="BodyText"/>
      </w:pPr>
      <w:r>
        <w:t xml:space="preserve"> </w:t>
      </w:r>
      <w:r>
        <w:t xml:space="preserve">Ministerio de Justicia. (1974). Ley 44/2003, de 21 de noviembre, del Abogado [Law 44/2003 of the Lawyer]. Boletín Oficial del Estado.</w:t>
      </w:r>
      <w:r>
        <w:t xml:space="preserve"> </w:t>
      </w:r>
    </w:p>
    <w:p>
      <w:pPr>
        <w:pStyle w:val="BodyText"/>
      </w:pPr>
      <w:r>
        <w:t xml:space="preserve">This law regulates the profession of the lawyer in Spain. It establishes the requirements for admission to the profession, the rights and duties of lawyers, and the organization of the professional colleges. For a lawyer in Valencia, this law is crucial as it mandates membership in the Colegio de Abogados de Valencia to practice legally. It also outlines the ethical obligations, confidentiality rules, and the prohibition of conflicts of interest. Understanding this legislation is essential for maintaining professional standing and avoiding disciplinary action within the Valencian jurisdiction.</w:t>
      </w:r>
    </w:p>
    <w:p>
      <w:pPr>
        <w:pStyle w:val="BodyText"/>
      </w:pPr>
      <w:r>
        <w:t xml:space="preserve"> </w:t>
      </w:r>
      <w:r>
        <w:t xml:space="preserve">Colegio de Abogados de Valencia. (2020). Código Deontológico de la Abogacía Valenciana [Code of Ethics of the Valencian Bar]. Valencia: CAV.</w:t>
      </w:r>
      <w:r>
        <w:t xml:space="preserve"> </w:t>
      </w:r>
    </w:p>
    <w:p>
      <w:pPr>
        <w:pStyle w:val="BodyText"/>
      </w:pPr>
      <w:r>
        <w:t xml:space="preserve">This document provides the specific ethical guidelines that govern the conduct of lawyers in Valencia. While based on the national code, it includes specific provisions relevant to the local legal culture and the operational procedures of the Valencian Bar Association. It addresses issues such as professional independence, relationships with clients and the judiciary, and advertising practices. For any lawyer seeking to establish a reputable practice in Valencia, adherence to this code is mandatory. It serves as a practical manual for navigating the professional responsibilities unique to the region.</w:t>
      </w:r>
    </w:p>
    <w:p>
      <w:pPr>
        <w:pStyle w:val="BodyText"/>
      </w:pPr>
      <w:r>
        <w:t xml:space="preserve"> </w:t>
      </w:r>
      <w:r>
        <w:t xml:space="preserve">Congreso de los Diputados. (1889). Código Civil [Civil Code]. Ley 1/1889, de 24 de julio.</w:t>
      </w:r>
      <w:r>
        <w:t xml:space="preserve"> </w:t>
      </w:r>
    </w:p>
    <w:p>
      <w:pPr>
        <w:pStyle w:val="BodyText"/>
      </w:pPr>
      <w:r>
        <w:t xml:space="preserve">The Spanish Civil Code is the primary source of private law in Spain. However, its application in Valencia is complex due to the existence of "Derecho Foral" or special civil law. While the Civil Code applies generally, the Valencian Community has its own civil legislation in certain areas, such as property and succession. A lawyer in Valencia must be adept at determining when the national Civil Code applies and when regional Valencian civil law takes precedence. This source is fundamental for handling contracts, family law, and property disputes, which constitute a significant portion of legal work in the region.</w:t>
      </w:r>
    </w:p>
    <w:p>
      <w:pPr>
        <w:pStyle w:val="BodyText"/>
      </w:pPr>
      <w:r>
        <w:t xml:space="preserve"> </w:t>
      </w:r>
      <w:r>
        <w:t xml:space="preserve">Generalitat Valenciana. (2015). Ley 1/2015, de 20 de mayo, de Derecho Civil Valenciano [Law 1/2015 of Valencian Civil Law]. Diari Oficial de la Generalitat Valenciana.</w:t>
      </w:r>
      <w:r>
        <w:t xml:space="preserve"> </w:t>
      </w:r>
    </w:p>
    <w:p>
      <w:pPr>
        <w:pStyle w:val="BodyText"/>
      </w:pPr>
      <w:r>
        <w:t xml:space="preserve">This law is a critical resource for any lawyer practicing in Valencia, as it codifies the specific civil law norms applicable in the region. It covers areas such as property rights, inheritance, and family law, providing a legal framework that differs in key aspects from the national Civil Code. For a lawyer dealing with real estate transactions or succession planning in Valencia, this law is often more relevant than the national code. Mastery of this legislation is a defining characteristic of a competent Valencian lawyer, ensuring that legal advice is tailored to the specific jurisdictional nuances of the area.</w:t>
      </w:r>
    </w:p>
    <w:p>
      <w:pPr>
        <w:pStyle w:val="BodyText"/>
      </w:pPr>
      <w:r>
        <w:t xml:space="preserve"> </w:t>
      </w:r>
      <w:r>
        <w:t xml:space="preserve">Consejo General del Poder Judicial (CGPJ). (2019). Ley Orgánica 6/1985, del Poder Judicial [Organic Law of the Judiciary]. BOE.</w:t>
      </w:r>
      <w:r>
        <w:t xml:space="preserve"> </w:t>
      </w:r>
    </w:p>
    <w:p>
      <w:pPr>
        <w:pStyle w:val="BodyText"/>
      </w:pPr>
      <w:r>
        <w:t xml:space="preserve">This organic law regulates the organization, functioning, and jurisdiction of the courts in Spain. For a lawyer in Valencia, understanding this law is essential for navigating the judicial system, including the Audiencia Provincial de Valencia and the Tribunal Superior de Justicia de la Comunidad Valenciana. It defines the procedures for filing lawsuits, the hierarchy of courts, and the rights of parties in legal proceedings. A thorough knowledge of this law enables a lawyer to effectively manage litigation and ensure that procedural requirements are met within the Valencian judicial framework.</w:t>
      </w:r>
    </w:p>
    <w:p>
      <w:pPr>
        <w:pStyle w:val="BodyText"/>
      </w:pPr>
      <w:r>
        <w:t xml:space="preserve"> </w:t>
      </w:r>
      <w:r>
        <w:t xml:space="preserve">Unión Europea. (2016). Reglamento (UE) 2016/679 del Parlamento Europeo y del Consejo (GDPR). Diario Oficial de la Unión Europea.</w:t>
      </w:r>
      <w:r>
        <w:t xml:space="preserve"> </w:t>
      </w:r>
    </w:p>
    <w:p>
      <w:pPr>
        <w:pStyle w:val="BodyText"/>
      </w:pPr>
      <w:r>
        <w:t xml:space="preserve">The General Data Protection Regulation (GDPR) is directly applicable in Spain and has significant implications for legal practice. For a lawyer in Valencia, compliance with GDPR is mandatory when handling client data, case files, and communications. This regulation sets strict standards for data privacy, security, and the rights of individuals regarding their personal information. Failure to comply can result in severe penalties and damage to a lawyer's professional reputation. This source is essential for implementing proper data protection measures within a law firm operating in Valencia, ensuring that client confidentiality is maintained in accordance with both European and Spanish law.</w:t>
      </w:r>
    </w:p>
    <w:p>
      <w:pPr>
        <w:pStyle w:val="BodyText"/>
      </w:pPr>
      <w:r>
        <w:t xml:space="preserve">Document generated for educational and informational purposes regarding legal practice in Valencia, Spain.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Valencia, Spain</dc:title>
  <dc:creator/>
  <dc:language>en</dc:language>
  <cp:keywords/>
  <dcterms:created xsi:type="dcterms:W3CDTF">2026-08-07T02:15:24Z</dcterms:created>
  <dcterms:modified xsi:type="dcterms:W3CDTF">2026-08-07T02:15:24Z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