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Istanbul,</w:t>
      </w:r>
      <w:r>
        <w:t xml:space="preserve"> </w:t>
      </w:r>
      <w:r>
        <w:t xml:space="preserve">Turkey</w:t>
      </w:r>
    </w:p>
    <w:bookmarkStart w:id="23" w:name="X6dba1653cca604d8d59362535876367ea6d029b"/>
    <w:p>
      <w:pPr>
        <w:pStyle w:val="Heading1"/>
      </w:pPr>
      <w:r>
        <w:t xml:space="preserve">Annotated Bibliography: Legal Practice and Lawyer Representation in Istanbul, Turkey</w:t>
      </w:r>
    </w:p>
    <w:p>
      <w:pPr>
        <w:pStyle w:val="FirstParagraph"/>
      </w:pPr>
      <w:r>
        <w:t xml:space="preserve">This annotated bibliography compiles essential resources regarding the legal landscape, professional conduct, and practical application of law within Istanbul, Turkey. As the economic and cultural hub of the nation, Istanbul presents a unique jurisdiction where civil law traditions intersect with complex commercial realities. The following entries provide a comprehensive overview for individuals seeking to understand the role of a lawyer in this specific region, covering everything from the Turkish Civil Code to the nuances of the Istanbul Bar Association and foreign investment regulations.</w:t>
      </w:r>
    </w:p>
    <w:bookmarkStart w:id="20" w:name="foundational-legal-frameworks"/>
    <w:p>
      <w:pPr>
        <w:pStyle w:val="Heading2"/>
      </w:pPr>
      <w:r>
        <w:t xml:space="preserve">Foundational Legal Frameworks</w:t>
      </w:r>
    </w:p>
    <w:p>
      <w:pPr>
        <w:pStyle w:val="FirstParagraph"/>
      </w:pPr>
      <w:r>
        <w:t xml:space="preserve"> </w:t>
      </w:r>
      <w:r>
        <w:t xml:space="preserve">Turkish Code of Obligations (Türk Borçlar Kanunu). Law No. 6098. Official Gazette of the Republic of Turkey, 2011.</w:t>
      </w:r>
      <w:r>
        <w:t xml:space="preserve"> </w:t>
      </w:r>
    </w:p>
    <w:p>
      <w:pPr>
        <w:pStyle w:val="BodyText"/>
      </w:pPr>
      <w:r>
        <w:t xml:space="preserve">This primary source is the cornerstone of private law in Turkey. For any lawyer operating in Istanbul, particularly in commercial disputes, contract enforcement, or liability claims, this code is indispensable. It replaced the Swiss Code of Obligations previously in force and aligns Turkish law more closely with international standards. The text is critical for understanding the contractual obligations that govern the vast majority of business transactions in Istanbul's financial districts.</w:t>
      </w:r>
    </w:p>
    <w:p>
      <w:pPr>
        <w:pStyle w:val="BodyText"/>
      </w:pPr>
      <w:r>
        <w:t xml:space="preserve"> </w:t>
      </w:r>
      <w:r>
        <w:t xml:space="preserve">Turkish Civil Code (Türk Medeni Kanunu). Law No. 4721. Official Gazette of the Republic of Turkey, 2001.</w:t>
      </w:r>
      <w:r>
        <w:t xml:space="preserve"> </w:t>
      </w:r>
    </w:p>
    <w:p>
      <w:pPr>
        <w:pStyle w:val="BodyText"/>
      </w:pPr>
      <w:r>
        <w:t xml:space="preserve">This legislation governs personal status, family law, and property rights. In the context of Istanbul, where real estate transactions are frequent and high-value, this code is vital. It outlines the legal requirements for property ownership, marriage, divorce, and inheritance. A lawyer in Istanbul must be intimately familiar with this code to navigate the complexities of title deeds (tapu) and family disputes, which are common in the city's diverse demographic landscape.</w:t>
      </w:r>
    </w:p>
    <w:p>
      <w:pPr>
        <w:pStyle w:val="BodyText"/>
      </w:pPr>
      <w:r>
        <w:t xml:space="preserve"> </w:t>
      </w:r>
      <w:r>
        <w:t xml:space="preserve">Turkish Commercial Code (Türk Ticaret Kanunu). Law No. 6102. Official Gazette of the Republic of Turkey, 2011.</w:t>
      </w:r>
      <w:r>
        <w:t xml:space="preserve"> </w:t>
      </w:r>
    </w:p>
    <w:p>
      <w:pPr>
        <w:pStyle w:val="BodyText"/>
      </w:pPr>
      <w:r>
        <w:t xml:space="preserve">As Istanbul serves as the primary commercial center of Turkey, this code is of paramount importance. It regulates the formation of companies, corporate governance, and commercial partnerships. For foreign investors and local entrepreneurs alike, this text provides the legal framework for establishing businesses in Istanbul. It is essential reading for corporate lawyers advising on mergers, acquisitions, and compliance within the Turkish market.</w:t>
      </w:r>
    </w:p>
    <w:bookmarkEnd w:id="20"/>
    <w:bookmarkStart w:id="21" w:name="professional-regulation-and-ethics"/>
    <w:p>
      <w:pPr>
        <w:pStyle w:val="Heading2"/>
      </w:pPr>
      <w:r>
        <w:t xml:space="preserve">Professional Regulation and Ethics</w:t>
      </w:r>
    </w:p>
    <w:p>
      <w:pPr>
        <w:pStyle w:val="FirstParagraph"/>
      </w:pPr>
      <w:r>
        <w:t xml:space="preserve"> </w:t>
      </w:r>
      <w:r>
        <w:t xml:space="preserve">Law on the Turkish Bar Association (Avukatlık Kanunu). Law No. 1136. Official Gazette of the Republic of Turkey, 1970 (as amended).</w:t>
      </w:r>
      <w:r>
        <w:t xml:space="preserve"> </w:t>
      </w:r>
    </w:p>
    <w:p>
      <w:pPr>
        <w:pStyle w:val="BodyText"/>
      </w:pPr>
      <w:r>
        <w:t xml:space="preserve">This law defines the profession of a lawyer in Turkey, outlining the requirements for admission to the bar, the rights and duties of legal practitioners, and the disciplinary procedures. It establishes the legal basis for the Istanbul Bar Association (İstanbul Barosu). Understanding this law is crucial for anyone seeking legal representation in Istanbul, as it guarantees the professional standards and ethical obligations that lawyers must uphold when representing clients in Turkish courts.</w:t>
      </w:r>
    </w:p>
    <w:p>
      <w:pPr>
        <w:pStyle w:val="BodyText"/>
      </w:pPr>
      <w:r>
        <w:t xml:space="preserve"> </w:t>
      </w:r>
      <w:r>
        <w:t xml:space="preserve">Istanbul Bar Association (İstanbul Barosu). "Code of Ethics and Professional Conduct." Istanbul Bar Association Publications, 2023.</w:t>
      </w:r>
      <w:r>
        <w:t xml:space="preserve"> </w:t>
      </w:r>
    </w:p>
    <w:p>
      <w:pPr>
        <w:pStyle w:val="BodyText"/>
      </w:pPr>
      <w:r>
        <w:t xml:space="preserve">This document provides specific ethical guidelines for lawyers practicing in Istanbul. It addresses issues such as conflict of interest, client confidentiality, and fee structures. Given the high volume of legal cases in Istanbul's courts, this code ensures that legal practitioners maintain integrity and professionalism. It is a valuable resource for clients to understand the standards of behavior they can expect from their legal counsel in the city.</w:t>
      </w:r>
    </w:p>
    <w:bookmarkEnd w:id="21"/>
    <w:bookmarkStart w:id="22" w:name="specialized-legal-areas-in-istanbul"/>
    <w:p>
      <w:pPr>
        <w:pStyle w:val="Heading2"/>
      </w:pPr>
      <w:r>
        <w:t xml:space="preserve">Specialized Legal Areas in Istanbul</w:t>
      </w:r>
    </w:p>
    <w:p>
      <w:pPr>
        <w:pStyle w:val="FirstParagraph"/>
      </w:pPr>
      <w:r>
        <w:t xml:space="preserve"> </w:t>
      </w:r>
      <w:r>
        <w:t xml:space="preserve">Ministry of Trade. "Regulation on Foreign Direct Investment in Turkey." Official Gazette of the Republic of Turkey, 2019.</w:t>
      </w:r>
      <w:r>
        <w:t xml:space="preserve"> </w:t>
      </w:r>
    </w:p>
    <w:p>
      <w:pPr>
        <w:pStyle w:val="BodyText"/>
      </w:pPr>
      <w:r>
        <w:t xml:space="preserve">This regulation is critical for lawyers advising foreign clients on investment opportunities in Istanbul. It outlines the legal framework for foreign ownership, repatriation of profits, and incentives for investors. Istanbul, being the gateway for international trade in Turkey, sees a significant number of transactions governed by these rules. This source is essential for understanding the legal protections and requirements for foreign entities operating within the city.</w:t>
      </w:r>
    </w:p>
    <w:p>
      <w:pPr>
        <w:pStyle w:val="BodyText"/>
      </w:pPr>
      <w:r>
        <w:t xml:space="preserve"> </w:t>
      </w:r>
      <w:r>
        <w:t xml:space="preserve">Turkish Patent and Trademark Office (TPE). "Industrial Property Law." Law No. 6769. Official Gazette of the Republic of Turkey, 2016.</w:t>
      </w:r>
      <w:r>
        <w:t xml:space="preserve"> </w:t>
      </w:r>
    </w:p>
    <w:p>
      <w:pPr>
        <w:pStyle w:val="BodyText"/>
      </w:pPr>
      <w:r>
        <w:t xml:space="preserve">With Istanbul's growing status as a hub for technology and innovation, intellectual property law has become increasingly relevant. This law governs patents, trademarks, and industrial designs. Lawyers in Istanbul specializing in IP must rely on this text to protect the rights of innovators and businesses. It is particularly important for companies in Istanbul's tech sector and creative industries seeking to safeguard their assets in the Turkish market.</w:t>
      </w:r>
    </w:p>
    <w:p>
      <w:pPr>
        <w:pStyle w:val="BodyText"/>
      </w:pPr>
      <w:r>
        <w:t xml:space="preserve"> </w:t>
      </w:r>
      <w:r>
        <w:t xml:space="preserve">Turkish Penal Code (Türk Ceza Kanunu). Law No. 5237. Official Gazette of the Republic of Turkey, 2004.</w:t>
      </w:r>
      <w:r>
        <w:t xml:space="preserve"> </w:t>
      </w:r>
    </w:p>
    <w:p>
      <w:pPr>
        <w:pStyle w:val="BodyText"/>
      </w:pPr>
      <w:r>
        <w:t xml:space="preserve">This code defines criminal offenses and penalties in Turkey. For criminal defense lawyers in Istanbul, this is the primary reference for defending clients accused of crimes. It covers a wide range of offenses, from minor infractions to serious felonies. Understanding this code is essential for navigating the criminal justice system in Istanbul, which handles a significant number of cases due to the city's large population.</w:t>
      </w:r>
    </w:p>
    <w:p>
      <w:pPr>
        <w:pStyle w:val="BodyText"/>
      </w:pPr>
      <w:r>
        <w:t xml:space="preserve"> </w:t>
      </w:r>
      <w:r>
        <w:t xml:space="preserve">Turkish Labor Law (İş Kanunu). Law No. 4857. Official Gazette of the Republic of Turkey, 2003.</w:t>
      </w:r>
      <w:r>
        <w:t xml:space="preserve"> </w:t>
      </w:r>
    </w:p>
    <w:p>
      <w:pPr>
        <w:pStyle w:val="BodyText"/>
      </w:pPr>
      <w:r>
        <w:t xml:space="preserve">This law regulates employment relationships, workers' rights, and employer obligations. In Istanbul, where the labor market is dynamic and diverse, this law is frequently invoked in disputes between employers and employees. Lawyers specializing in labor law must be well-versed in this code to advise clients on compliance, termination procedures, and workplace safety. It is a key resource for ensuring fair labor practices in the city's various industries.</w:t>
      </w:r>
    </w:p>
    <w:p>
      <w:pPr>
        <w:pStyle w:val="BodyText"/>
      </w:pPr>
      <w:r>
        <w:t xml:space="preserve">This annotated bibliography is intended for informational purposes only and does not constitute legal advice. For specific legal matters in Istanbul, Turkey, please consult a qualified lawyer.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Istanbul, Turkey</dc:title>
  <dc:creator/>
  <dc:language>en</dc:language>
  <cp:keywords/>
  <dcterms:created xsi:type="dcterms:W3CDTF">2026-08-07T02:06:20Z</dcterms:created>
  <dcterms:modified xsi:type="dcterms:W3CDTF">2026-08-07T02:06:20Z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