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2" w:name="Xb16890b62ea5b6e975906fb997e646a6a899ba1"/>
    <w:p>
      <w:pPr>
        <w:pStyle w:val="Heading1"/>
      </w:pPr>
      <w:r>
        <w:t xml:space="preserve">Annotated Bibliography: Legal Practice and Lawyer Regulation in Dubai, United Arab Emirates</w:t>
      </w:r>
    </w:p>
    <w:p>
      <w:pPr>
        <w:pStyle w:val="FirstParagraph"/>
      </w:pPr>
      <w:r>
        <w:t xml:space="preserve">The following annotated bibliography provides a comprehensive overview of key legal texts, regulations, and scholarly articles relevant to the practice of law and the role of the lawyer in Dubai, United Arab Emirates. This collection addresses the dual legal system comprising the federal civil law framework and the specialized common law jurisdictions within the Dubai International Financial Centre (DIFC). These sources are essential for understanding the licensing, ethical obligations, and operational scope of legal practitioners in this dynamic jurisdiction.</w:t>
      </w:r>
    </w:p>
    <w:bookmarkStart w:id="20" w:name="X1733deaf6e6166946841ecdc33f3c6a957b75ab"/>
    <w:p>
      <w:pPr>
        <w:pStyle w:val="Heading2"/>
      </w:pPr>
      <w:r>
        <w:t xml:space="preserve">Primary Legislation and Regulatory Frameworks</w:t>
      </w:r>
    </w:p>
    <w:p>
      <w:pPr>
        <w:pStyle w:val="FirstParagraph"/>
      </w:pPr>
      <w:r>
        <w:t xml:space="preserve">Federal Law No. 23 of 1991 Regarding the Practice of the Legal Profession (as amended by Federal Law No. 1 of 2017).</w:t>
      </w:r>
    </w:p>
    <w:p>
      <w:pPr>
        <w:pStyle w:val="BodyText"/>
      </w:pPr>
      <w:r>
        <w:t xml:space="preserve">This is the cornerstone legislation governing the profession of the lawyer across the United Arab Emirates, including Dubai. It outlines the requirements for obtaining a license to practice law, the establishment of law firms, and the ethical code of conduct that all legal practitioners must adhere to. The 2017 amendments are particularly significant as they introduced stricter regulations regarding foreign lawyers and the formation of joint ventures between local and international firms. For any lawyer operating in Dubai, this text is mandatory reading to understand the statutory boundaries of legal representation, client confidentiality, and professional liability. It defines the hierarchy of the legal profession and the role of the Ministry of Justice in overseeing compliance.</w:t>
      </w:r>
    </w:p>
    <w:p>
      <w:pPr>
        <w:pStyle w:val="BodyText"/>
      </w:pPr>
      <w:r>
        <w:t xml:space="preserve">Keywords: Federal Law, Legal Profession, Licensing, Ethics, UAE Ministry of Justice.</w:t>
      </w:r>
    </w:p>
    <w:p>
      <w:pPr>
        <w:pStyle w:val="BodyText"/>
      </w:pPr>
      <w:r>
        <w:t xml:space="preserve">Dubai International Financial Centre (DIFC) Law No. 1 of 2004 and the DIFC Courts Law.</w:t>
      </w:r>
    </w:p>
    <w:p>
      <w:pPr>
        <w:pStyle w:val="BodyText"/>
      </w:pPr>
      <w:r>
        <w:t xml:space="preserve">This document establishes the legal framework for the DIFC, a special economic zone in Dubai that operates under a common law system distinct from the UAE's federal civil law. For a lawyer specializing in financial services, corporate law, or international arbitration in Dubai, this text is critical. It details the jurisdiction of the DIFC Courts, the rules of evidence, and the specific requirements for legal practitioners wishing to be admitted to the DIFC Courts Roll. The text highlights the unique opportunity for foreign-qualified lawyers to practice in Dubai without the need for a local Emirati partner, provided they operate within the DIFC's jurisdiction. It is essential for understanding the bifurcated nature of legal practice in the city.</w:t>
      </w:r>
    </w:p>
    <w:p>
      <w:pPr>
        <w:pStyle w:val="BodyText"/>
      </w:pPr>
      <w:r>
        <w:t xml:space="preserve">Keywords: DIFC, Common Law, Financial Centre, Jurisdiction, Foreign Lawyers.</w:t>
      </w:r>
    </w:p>
    <w:p>
      <w:pPr>
        <w:pStyle w:val="BodyText"/>
      </w:pPr>
      <w:r>
        <w:t xml:space="preserve">Abu Dhabi Global Market (ADGM) and Dubai International Financial Centre (DIFC) Cross-Border Recognition and Enforcement of Judgments and Arbitral Awards Regulations.</w:t>
      </w:r>
    </w:p>
    <w:p>
      <w:pPr>
        <w:pStyle w:val="BodyText"/>
      </w:pPr>
      <w:r>
        <w:t xml:space="preserve">While primarily focused on enforcement, this regulatory framework is vital for lawyers in Dubai engaged in cross-border litigation and dispute resolution. It illustrates the integration of Dubai's financial free zones with other international legal hubs. For a lawyer advising multinational clients in the United Arab Emirates, understanding these regulations is crucial for structuring contracts and anticipating enforcement mechanisms. The document underscores the strategic importance of Dubai as a legal gateway, allowing lawyers to leverage both civil and common law principles to protect client interests in international commercial transactions.</w:t>
      </w:r>
    </w:p>
    <w:p>
      <w:pPr>
        <w:pStyle w:val="BodyText"/>
      </w:pPr>
      <w:r>
        <w:t xml:space="preserve">Keywords: Enforcement, Arbitration, Cross-Border, Commercial Law, Dispute Resolution.</w:t>
      </w:r>
    </w:p>
    <w:bookmarkEnd w:id="20"/>
    <w:bookmarkStart w:id="21" w:name="Xde27c54b66af3c2b7a7799a2ac44f5cee323a5f"/>
    <w:p>
      <w:pPr>
        <w:pStyle w:val="Heading2"/>
      </w:pPr>
      <w:r>
        <w:t xml:space="preserve">Scholarly Analysis and Professional Practice</w:t>
      </w:r>
    </w:p>
    <w:p>
      <w:pPr>
        <w:pStyle w:val="FirstParagraph"/>
      </w:pPr>
      <w:r>
        <w:t xml:space="preserve">Al-Rashid, M. (2021). "The Evolution of Legal Services in Dubai: Bridging Civil and Common Law Traditions." Journal of Middle East Law and Practice, 15(3), 45-62.</w:t>
      </w:r>
    </w:p>
    <w:p>
      <w:pPr>
        <w:pStyle w:val="BodyText"/>
      </w:pPr>
      <w:r>
        <w:t xml:space="preserve">This academic article provides a detailed analysis of how the legal landscape in Dubai has evolved to accommodate international business needs. The author examines the challenges and opportunities faced by lawyers navigating the coexistence of Sharia-based civil law and English common law within the same city. The text is particularly useful for understanding the practical implications of jurisdictional conflicts and the strategies lawyers employ to advise clients effectively. It offers insights into the cultural and procedural nuances that a lawyer must master to succeed in the Dubai market, making it a valuable resource for both local practitioners and foreign legal advisors entering the United Arab Emirates.</w:t>
      </w:r>
    </w:p>
    <w:p>
      <w:pPr>
        <w:pStyle w:val="BodyText"/>
      </w:pPr>
      <w:r>
        <w:t xml:space="preserve">Keywords: Legal Evolution, Jurisdictional Conflict, Comparative Law, Dubai Legal Market.</w:t>
      </w:r>
    </w:p>
    <w:p>
      <w:pPr>
        <w:pStyle w:val="BodyText"/>
      </w:pPr>
      <w:r>
        <w:t xml:space="preserve">Chambers and Partners. (2023). "The Legal 500: United Arab Emirates - Dubai Guide."</w:t>
      </w:r>
    </w:p>
    <w:p>
      <w:pPr>
        <w:pStyle w:val="BodyText"/>
      </w:pPr>
      <w:r>
        <w:t xml:space="preserve">This annual publication serves as a critical industry benchmark for law firms and individual lawyers in Dubai. It provides rankings and expert commentary on the performance of legal practitioners across various practice areas, including corporate, real estate, and litigation. For a lawyer seeking to establish a reputation in Dubai, this document offers insights into market expectations and client preferences. It also highlights the competitive nature of the legal sector in the United Arab Emirates and the importance of specialization. The guide is an essential tool for understanding the commercial dynamics of legal practice in Dubai and identifying key players and emerging trends in the region.</w:t>
      </w:r>
    </w:p>
    <w:p>
      <w:pPr>
        <w:pStyle w:val="BodyText"/>
      </w:pPr>
      <w:r>
        <w:t xml:space="preserve">Keywords: Legal Rankings, Market Analysis, Law Firms, Professional Reputation, Dubai.</w:t>
      </w:r>
    </w:p>
    <w:p>
      <w:pPr>
        <w:pStyle w:val="BodyText"/>
      </w:pPr>
      <w:r>
        <w:t xml:space="preserve">International Bar Association (IBA). (2022). "IBA Guidelines on Conflicts of Interest in International Arbitration: Application in UAE Free Zones."</w:t>
      </w:r>
    </w:p>
    <w:p>
      <w:pPr>
        <w:pStyle w:val="BodyText"/>
      </w:pPr>
      <w:r>
        <w:t xml:space="preserve">This document addresses the ethical considerations and conflict of interest rules that apply to lawyers and arbitrators operating in international arbitration seats, with specific reference to free zones like Dubai. It is highly relevant for lawyers involved in complex commercial disputes in the United Arab Emirates. The guidelines provide a framework for maintaining impartiality and transparency, which are paramount in the DIFC and other international arbitration centers in Dubai. The text helps lawyers navigate the ethical dilemmas that may arise when representing clients in cross-border transactions, ensuring compliance with both local regulations and international best practices.</w:t>
      </w:r>
    </w:p>
    <w:p>
      <w:pPr>
        <w:pStyle w:val="BodyText"/>
      </w:pPr>
      <w:r>
        <w:t xml:space="preserve">Keywords: Arbitration, Ethics, Conflicts of Interest, IBA Guidelines, Free Zones.</w:t>
      </w:r>
    </w:p>
    <w:p>
      <w:pPr>
        <w:pStyle w:val="BodyText"/>
      </w:pPr>
      <w:r>
        <w:t xml:space="preserve">Dubai Courts. (2020). "Electronic Litigation System: User Manual for Legal Practitioners."</w:t>
      </w:r>
    </w:p>
    <w:p>
      <w:pPr>
        <w:pStyle w:val="BodyText"/>
      </w:pPr>
      <w:r>
        <w:t xml:space="preserve">This official manual from the Dubai Courts outlines the procedures for using the electronic litigation system, which has become mandatory for most legal proceedings in Dubai. For a lawyer practicing in the United Arab Emirates, proficiency with this system is no longer optional but a fundamental requirement. The document details the steps for filing cases, submitting evidence, and attending virtual hearings. It reflects the modernization efforts of the Dubai legal sector and the increasing reliance on technology in legal practice. Understanding this manual is crucial for ensuring procedural compliance and efficient case management in Dubai's courts.</w:t>
      </w:r>
    </w:p>
    <w:p>
      <w:pPr>
        <w:pStyle w:val="BodyText"/>
      </w:pPr>
      <w:r>
        <w:t xml:space="preserve">Keywords: Dubai Courts, E-Litigation, Technology, Procedure, Case Management.</w:t>
      </w:r>
    </w:p>
    <w:p>
      <w:pPr>
        <w:pStyle w:val="BodyText"/>
      </w:pPr>
      <w:r>
        <w:t xml:space="preserve">World Bank Group. (2023). "Doing Business in the United Arab Emirates: Legal and Regulatory Environment."</w:t>
      </w:r>
    </w:p>
    <w:p>
      <w:pPr>
        <w:pStyle w:val="BodyText"/>
      </w:pPr>
      <w:r>
        <w:t xml:space="preserve">This report provides a macro-level view of the legal and regulatory environment for businesses in the UAE, with specific sections dedicated to Dubai. It is an invaluable resource for lawyers advising corporate clients on market entry, compliance, and regulatory risks. The document analyzes recent legal reforms aimed at improving the ease of doing business, including changes to company law and foreign ownership restrictions. For a lawyer in Dubai, this text offers context on how legal frameworks are shaped by economic policies and how these changes impact legal practice and client advisory services in the United Arab Emirates.</w:t>
      </w:r>
    </w:p>
    <w:p>
      <w:pPr>
        <w:pStyle w:val="BodyText"/>
      </w:pPr>
      <w:r>
        <w:t xml:space="preserve">Keywords: Doing Business, Regulatory Reform, Corporate Law, Economic Policy, UAE.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Dubai, United Arab Emirates</dc:title>
  <dc:creator/>
  <dc:language>en</dc:language>
  <cp:keywords/>
  <dcterms:created xsi:type="dcterms:W3CDTF">2026-08-07T07:20:23Z</dcterms:created>
  <dcterms:modified xsi:type="dcterms:W3CDTF">2026-08-07T07:20:23Z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