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Regulation</w:t>
      </w:r>
      <w:r>
        <w:t xml:space="preserve"> </w:t>
      </w:r>
      <w:r>
        <w:t xml:space="preserve">in</w:t>
      </w:r>
      <w:r>
        <w:t xml:space="preserve"> </w:t>
      </w:r>
      <w:r>
        <w:t xml:space="preserve">Tashkent,</w:t>
      </w:r>
      <w:r>
        <w:t xml:space="preserve"> </w:t>
      </w:r>
      <w:r>
        <w:t xml:space="preserve">Uzbekistan</w:t>
      </w:r>
    </w:p>
    <w:bookmarkStart w:id="20" w:name="Xbeb295deaaf99e08607d5d5fcbc1434e62de6d6"/>
    <w:p>
      <w:pPr>
        <w:pStyle w:val="Heading1"/>
      </w:pPr>
      <w:r>
        <w:t xml:space="preserve">Annotated Bibliography: The Role and Regulation of the Lawyer in Tashkent, Uzbekistan</w:t>
      </w:r>
    </w:p>
    <w:p>
      <w:pPr>
        <w:pStyle w:val="FirstParagraph"/>
      </w:pPr>
      <w:r>
        <w:rPr>
          <w:bCs/>
          <w:b/>
        </w:rPr>
        <w:t xml:space="preserve">Subject:</w:t>
      </w:r>
      <w:r>
        <w:t xml:space="preserve"> </w:t>
      </w:r>
      <w:r>
        <w:t xml:space="preserve">Legal Profession, Jurisprudence, and Civil Law Reform</w:t>
      </w:r>
    </w:p>
    <w:p>
      <w:pPr>
        <w:pStyle w:val="BodyText"/>
      </w:pPr>
      <w:r>
        <w:rPr>
          <w:bCs/>
          <w:b/>
        </w:rPr>
        <w:t xml:space="preserve">Region:</w:t>
      </w:r>
      <w:r>
        <w:t xml:space="preserve"> </w:t>
      </w:r>
      <w:r>
        <w:t xml:space="preserve">Tashkent, Uzbekistan</w:t>
      </w:r>
    </w:p>
    <w:bookmarkEnd w:id="20"/>
    <w:p>
      <w:pPr>
        <w:pStyle w:val="BodyText"/>
      </w:pPr>
      <w:r>
        <w:t xml:space="preserve">The following annotated bibliography compiles essential legal texts, legislative acts, and scholarly analyses regarding the practice of law in Uzbekistan, with a specific focus on the capital city of Tashkent. As Uzbekistan undergoes significant judicial reforms, the role of the lawyer has evolved from a state-controlled functionary to an independent advocate for human rights and commercial interests. This collection highlights the statutory framework, ethical obligations, and practical realities facing legal practitioners in Tashkent today.</w:t>
      </w:r>
    </w:p>
    <w:bookmarkStart w:id="24" w:name="primary-legislative-sources"/>
    <w:p>
      <w:pPr>
        <w:pStyle w:val="Heading2"/>
      </w:pPr>
      <w:r>
        <w:t xml:space="preserve">Primary Legislative Sources</w:t>
      </w:r>
    </w:p>
    <w:bookmarkStart w:id="21" w:name="Xdea593d748020c997e1d2639bf955ce71751b3e"/>
    <w:p>
      <w:pPr>
        <w:pStyle w:val="Heading3"/>
      </w:pPr>
      <w:r>
        <w:t xml:space="preserve">1. The Law of the Republic of Uzbekistan "On Advocacy and Advocacy Activity"</w:t>
      </w:r>
    </w:p>
    <w:p>
      <w:pPr>
        <w:pStyle w:val="FirstParagraph"/>
      </w:pPr>
      <w:r>
        <w:t xml:space="preserve">Law of the Republic of Uzbekistan No. ZRU-548, dated July 24, 2019.</w:t>
      </w:r>
    </w:p>
    <w:p>
      <w:pPr>
        <w:pStyle w:val="BodyText"/>
      </w:pPr>
      <w:r>
        <w:t xml:space="preserve">This is the foundational statute governing the legal profession in Uzbekistan. It defines the status of a lawyer, the requirements for admission to the bar, and the structure of the advocacy system. For a lawyer practicing in Tashkent, this document is critical as it outlines the specific rights to access clients, gather evidence, and maintain attorney-client privilege. The law establishes the Supreme Council of Advocates as the self-regulatory body. It marks a shift toward aligning Uzbekistan's legal standards with international norms, ensuring that lawyers in Tashkent operate with greater independence from state interference compared to the Soviet era.</w:t>
      </w:r>
    </w:p>
    <w:bookmarkEnd w:id="21"/>
    <w:bookmarkStart w:id="22" w:name="X821db81684e43fa8ee5a2a9fd9e2b62fd644207"/>
    <w:p>
      <w:pPr>
        <w:pStyle w:val="Heading3"/>
      </w:pPr>
      <w:r>
        <w:t xml:space="preserve">2. The Code of Professional Ethics of Advocates of the Republic of Uzbekistan</w:t>
      </w:r>
    </w:p>
    <w:p>
      <w:pPr>
        <w:pStyle w:val="FirstParagraph"/>
      </w:pPr>
      <w:r>
        <w:t xml:space="preserve">Approved by the Resolution of the Supreme Council of Advocates of the Republic of Uzbekistan, 2020.</w:t>
      </w:r>
    </w:p>
    <w:p>
      <w:pPr>
        <w:pStyle w:val="BodyText"/>
      </w:pPr>
      <w:r>
        <w:t xml:space="preserve">This document serves as the ethical compass for every lawyer in the country, including those in Tashkent. It details the moral obligations, professional conduct, and disciplinary measures applicable to legal practitioners. The code emphasizes integrity, confidentiality, and the avoidance of conflicts of interest. For foreign investors and local businesses in Tashkent, understanding this code is vital when engaging legal counsel, as it dictates the boundaries of a lawyer's duty. It also provides mechanisms for resolving disputes between clients and lawyers, reinforcing the professionalization of the legal market in the capital.</w:t>
      </w:r>
    </w:p>
    <w:bookmarkEnd w:id="22"/>
    <w:bookmarkStart w:id="23" w:name="Xa3e28dfab03a087e80a83a26446d17361ac716f"/>
    <w:p>
      <w:pPr>
        <w:pStyle w:val="Heading3"/>
      </w:pPr>
      <w:r>
        <w:t xml:space="preserve">3. The Civil Procedure Code of the Republic of Uzbekistan</w:t>
      </w:r>
    </w:p>
    <w:p>
      <w:pPr>
        <w:pStyle w:val="FirstParagraph"/>
      </w:pPr>
      <w:r>
        <w:t xml:space="preserve">Law of the Republic of Uzbekistan No. ZRU-549, dated July 24, 2019.</w:t>
      </w:r>
    </w:p>
    <w:p>
      <w:pPr>
        <w:pStyle w:val="BodyText"/>
      </w:pPr>
      <w:r>
        <w:t xml:space="preserve">Given Tashkent's status as the economic hub of Uzbekistan, civil litigation is a primary domain for legal practitioners. This code regulates the procedures for civil cases, including commercial disputes, property rights, and family law. It explicitly defines the procedural rights of the lawyer, such as the right to file motions, present evidence, and appeal decisions. The 2019 revision introduced significant changes aimed at increasing transparency and efficiency in Tashkent's courts. For any lawyer operating in the city, mastery of this code is indispensable for effective representation in civil matters.</w:t>
      </w:r>
    </w:p>
    <w:bookmarkEnd w:id="23"/>
    <w:bookmarkEnd w:id="24"/>
    <w:bookmarkStart w:id="30" w:name="scholarly-and-analytical-works"/>
    <w:p>
      <w:pPr>
        <w:pStyle w:val="Heading2"/>
      </w:pPr>
      <w:r>
        <w:t xml:space="preserve">Scholarly and Analytical Works</w:t>
      </w:r>
    </w:p>
    <w:bookmarkStart w:id="25" w:name="X1238b1b39eb4135a99a81e94652da3519acdbfe"/>
    <w:p>
      <w:pPr>
        <w:pStyle w:val="Heading3"/>
      </w:pPr>
      <w:r>
        <w:t xml:space="preserve">4. "Judicial Reform in Uzbekistan: Progress and Challenges"</w:t>
      </w:r>
    </w:p>
    <w:p>
      <w:pPr>
        <w:pStyle w:val="FirstParagraph"/>
      </w:pPr>
      <w:r>
        <w:t xml:space="preserve">International Commission of Jurists (ICJ), 2021.</w:t>
      </w:r>
    </w:p>
    <w:p>
      <w:pPr>
        <w:pStyle w:val="BodyText"/>
      </w:pPr>
      <w:r>
        <w:t xml:space="preserve">This report provides a comprehensive analysis of the ongoing judicial reforms in Uzbekistan, with specific case studies from Tashkent. It evaluates the impact of these reforms on the independence of the lawyer and the fairness of trials. The document highlights improvements in the appointment of defense counsel and the reduction of political pressure on judges. However, it also notes persistent challenges, such as the need for further training for lawyers in human rights law. This source is essential for understanding the broader context in which Tashkent lawyers operate and the external pressures influencing their practice.</w:t>
      </w:r>
    </w:p>
    <w:bookmarkEnd w:id="25"/>
    <w:bookmarkStart w:id="26" w:name="Xfb408b751e38c0ecdce6e3e152186bb85d76286"/>
    <w:p>
      <w:pPr>
        <w:pStyle w:val="Heading3"/>
      </w:pPr>
      <w:r>
        <w:t xml:space="preserve">5. "The Role of Advocacy in the Development of the Rule of Law in Uzbekistan"</w:t>
      </w:r>
    </w:p>
    <w:p>
      <w:pPr>
        <w:pStyle w:val="FirstParagraph"/>
      </w:pPr>
      <w:r>
        <w:t xml:space="preserve">Karimov, A., &amp; Nurmatov, B. (2022). Journal of Central Asian Legal Studies, 14(2), 45-62.</w:t>
      </w:r>
    </w:p>
    <w:p>
      <w:pPr>
        <w:pStyle w:val="BodyText"/>
      </w:pPr>
      <w:r>
        <w:t xml:space="preserve">This academic article examines the transformation of the advocacy system in Uzbekistan from a state-controlled entity to a self-regulated profession. The authors focus on the activities of the Supreme Council of Advocates in Tashkent and its efforts to standardize legal education and practice. The paper argues that the strengthening of the lawyer's role is crucial for the protection of citizens' rights and the attraction of foreign investment. It provides valuable insights into the internal dynamics of the legal community in Tashkent and the ongoing debate regarding the balance between state oversight and professional autonomy.</w:t>
      </w:r>
    </w:p>
    <w:bookmarkEnd w:id="26"/>
    <w:bookmarkStart w:id="27" w:name="X81153985d970eccc16edc61c606f233ea1ca522"/>
    <w:p>
      <w:pPr>
        <w:pStyle w:val="Heading3"/>
      </w:pPr>
      <w:r>
        <w:t xml:space="preserve">6. "Legal Aid and Access to Justice in Tashkent"</w:t>
      </w:r>
    </w:p>
    <w:p>
      <w:pPr>
        <w:pStyle w:val="FirstParagraph"/>
      </w:pPr>
      <w:r>
        <w:t xml:space="preserve">Human Rights Watch, 2020.</w:t>
      </w:r>
    </w:p>
    <w:p>
      <w:pPr>
        <w:pStyle w:val="BodyText"/>
      </w:pPr>
      <w:r>
        <w:t xml:space="preserve">This report investigates the availability and quality of legal aid for vulnerable populations in Tashkent. It assesses the performance of state-funded lawyers and non-governmental organizations in providing legal assistance. The document highlights gaps in the system, such as insufficient funding and a lack of qualified lawyers in certain districts of the city. It also discusses the role of private lawyers in pro bono work. This source is critical for understanding the social responsibilities of the lawyer in Tashkent and the challenges faced by individuals seeking legal representation without financial means.</w:t>
      </w:r>
    </w:p>
    <w:bookmarkEnd w:id="27"/>
    <w:bookmarkStart w:id="28" w:name="X5968280c520746a0034e3a2f5eb9d0ecfeb76c4"/>
    <w:p>
      <w:pPr>
        <w:pStyle w:val="Heading3"/>
      </w:pPr>
      <w:r>
        <w:t xml:space="preserve">7. "Commercial Law Practice in Uzbekistan: A Guide for Foreign Investors"</w:t>
      </w:r>
    </w:p>
    <w:p>
      <w:pPr>
        <w:pStyle w:val="FirstParagraph"/>
      </w:pPr>
      <w:r>
        <w:t xml:space="preserve">Baker McKenzie, 2023.</w:t>
      </w:r>
    </w:p>
    <w:p>
      <w:pPr>
        <w:pStyle w:val="BodyText"/>
      </w:pPr>
      <w:r>
        <w:t xml:space="preserve">This practical guide offers insights into the commercial legal landscape of Uzbekistan, with a focus on Tashkent as the center of business activity. It covers key areas such as corporate law, taxation, and labor regulations. The document emphasizes the importance of engaging local lawyers who are familiar with the nuances of Uzbek law and the local business culture. It also discusses the role of the lawyer in navigating regulatory hurdles and protecting intellectual property rights. This source is highly relevant for international law firms and foreign businesses looking to establish a presence in Tashkent.</w:t>
      </w:r>
    </w:p>
    <w:bookmarkEnd w:id="28"/>
    <w:bookmarkStart w:id="29" w:name="X962f4b02fcfbbfe12cde73516f31da5ab43dc93"/>
    <w:p>
      <w:pPr>
        <w:pStyle w:val="Heading3"/>
      </w:pPr>
      <w:r>
        <w:t xml:space="preserve">8. "Digitalization of Legal Services in Tashkent"</w:t>
      </w:r>
    </w:p>
    <w:p>
      <w:pPr>
        <w:pStyle w:val="FirstParagraph"/>
      </w:pPr>
      <w:r>
        <w:t xml:space="preserve">World Bank Group, 2022.</w:t>
      </w:r>
    </w:p>
    <w:p>
      <w:pPr>
        <w:pStyle w:val="BodyText"/>
      </w:pPr>
      <w:r>
        <w:t xml:space="preserve">This report explores the impact of digitalization on the legal profession in Uzbekistan, particularly in Tashkent. It discusses the implementation of online court systems, electronic filing of documents, and digital legal databases. The document highlights how these technological advancements are improving the efficiency of legal services and making them more accessible to the public. It also addresses the challenges of digital literacy among lawyers and the need for cybersecurity measures. This source is important for understanding the future trends in legal practice in Tashkent and the skills required for modern lawyers.</w:t>
      </w:r>
    </w:p>
    <w:p>
      <w:pPr>
        <w:pStyle w:val="BodyText"/>
      </w:pPr>
      <w:r>
        <w:t xml:space="preserve">Document generated for educational and informational purposes regarding the legal profession in Uzbekistan.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Regulation in Tashkent, Uzbekistan</dc:title>
  <dc:creator/>
  <dc:language>en</dc:language>
  <cp:keywords/>
  <dcterms:created xsi:type="dcterms:W3CDTF">2026-08-07T04:18:26Z</dcterms:created>
  <dcterms:modified xsi:type="dcterms:W3CDTF">2026-08-07T04:18:26Z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