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2" w:name="X641e81018b9b8b8d49bd938ed545877fafdc3ec"/>
    <w:p>
      <w:pPr>
        <w:pStyle w:val="Heading1"/>
      </w:pPr>
      <w:r>
        <w:t xml:space="preserve">Annotated Bibliography: The Role and Landscape of the Medical Researcher in Australia Melbourne</w:t>
      </w:r>
    </w:p>
    <w:p>
      <w:pPr>
        <w:pStyle w:val="FirstParagraph"/>
      </w:pPr>
      <w:r>
        <w:t xml:space="preserve">This annotated bibliography provides a comprehensive overview of key resources regarding the profession of the Medical Researcher within the specific context of Australia Melbourne. It covers regulatory frameworks, career pathways, major research institutions, and the current state of biomedical innovation in the region.</w:t>
      </w:r>
    </w:p>
    <w:bookmarkStart w:id="20" w:name="introduction"/>
    <w:p>
      <w:pPr>
        <w:pStyle w:val="Heading2"/>
      </w:pPr>
      <w:r>
        <w:t xml:space="preserve">Introduction</w:t>
      </w:r>
    </w:p>
    <w:p>
      <w:pPr>
        <w:pStyle w:val="FirstParagraph"/>
      </w:pPr>
      <w:r>
        <w:t xml:space="preserve">Melbourne has established itself as a global hub for biomedical research and innovation. For a Medical Researcher operating in this city, understanding the local ecosystem is as critical as possessing scientific expertise. The following entries have been selected to guide professionals and students through the complexities of conducting medical research in this specific Australian jurisdiction.</w:t>
      </w:r>
    </w:p>
    <w:p>
      <w:pPr>
        <w:pStyle w:val="BodyText"/>
      </w:pPr>
      <w:r>
        <w:t xml:space="preserve">National Health and Medical Research Council (NHMRC). (2023).</w:t>
      </w:r>
      <w:r>
        <w:t xml:space="preserve"> </w:t>
      </w:r>
      <w:r>
        <w:rPr>
          <w:iCs/>
          <w:i/>
        </w:rPr>
        <w:t xml:space="preserve">Grant Guidelines: Project Grants</w:t>
      </w:r>
      <w:r>
        <w:t xml:space="preserve">. Canberra: NHMRC.</w:t>
      </w:r>
    </w:p>
    <w:p>
      <w:pPr>
        <w:pStyle w:val="BodyText"/>
      </w:pPr>
      <w:r>
        <w:t xml:space="preserve">This document outlines the funding mechanisms, eligibility criteria, and ethical requirements for medical research projects in Australia. It details the specific priorities for health research, including chronic disease, mental health, and Indigenous health outcomes.</w:t>
      </w:r>
    </w:p>
    <w:p>
      <w:pPr>
        <w:pStyle w:val="BodyText"/>
      </w:pPr>
      <w:r>
        <w:t xml:space="preserve">As the primary funding body for health and medical research in the country, the NHMRC is the authoritative source for any Medical Researcher in Australia. The guidelines are rigorous and reflect the national standards for scientific excellence.</w:t>
      </w:r>
    </w:p>
    <w:p>
      <w:pPr>
        <w:pStyle w:val="BodyText"/>
      </w:pPr>
      <w:r>
        <w:t xml:space="preserve">For a researcher based in Australia Melbourne, this is an essential resource. Melbourne hosts a significant portion of NHMRC-funded projects. Understanding these guidelines is mandatory for securing financial support for clinical trials and laboratory studies in the city.</w:t>
      </w:r>
    </w:p>
    <w:p>
      <w:pPr>
        <w:pStyle w:val="BodyText"/>
      </w:pPr>
      <w:r>
        <w:t xml:space="preserve">University of Melbourne. (2024).</w:t>
      </w:r>
      <w:r>
        <w:t xml:space="preserve"> </w:t>
      </w:r>
      <w:r>
        <w:rPr>
          <w:iCs/>
          <w:i/>
        </w:rPr>
        <w:t xml:space="preserve">The Bio21 Molecular Science and Biotechnology Institute: Strategic Plan 2024-2029</w:t>
      </w:r>
      <w:r>
        <w:t xml:space="preserve">. Melbourne: University of Melbourne.</w:t>
      </w:r>
    </w:p>
    <w:p>
      <w:pPr>
        <w:pStyle w:val="BodyText"/>
      </w:pPr>
      <w:r>
        <w:t xml:space="preserve">This strategic plan details the research focus areas of Bio21, one of the largest and most advanced biomedical research facilities in the Southern Hemisphere. It highlights collaborations between academia, industry, and government to translate research into clinical applications.</w:t>
      </w:r>
    </w:p>
    <w:p>
      <w:pPr>
        <w:pStyle w:val="BodyText"/>
      </w:pPr>
      <w:r>
        <w:t xml:space="preserve">The document provides a high-level view of the infrastructure available to Medical Researchers in Melbourne. It is professionally written and offers insight into the collaborative culture that defines the local research sector.</w:t>
      </w:r>
    </w:p>
    <w:p>
      <w:pPr>
        <w:pStyle w:val="BodyText"/>
      </w:pPr>
      <w:r>
        <w:t xml:space="preserve">Bio21 is a cornerstone of the Australia Melbourne research landscape. For a Medical Researcher looking to collaborate, access state-of-the-art equipment, or understand the local focus on molecular science, this document is highly relevant.</w:t>
      </w:r>
    </w:p>
    <w:p>
      <w:pPr>
        <w:pStyle w:val="BodyText"/>
      </w:pPr>
      <w:r>
        <w:t xml:space="preserve">Wicking Dementia Research and Education Centre. (2023).</w:t>
      </w:r>
      <w:r>
        <w:t xml:space="preserve"> </w:t>
      </w:r>
      <w:r>
        <w:rPr>
          <w:iCs/>
          <w:i/>
        </w:rPr>
        <w:t xml:space="preserve">Annual Report: Advancing Dementia Research in Victoria</w:t>
      </w:r>
      <w:r>
        <w:t xml:space="preserve">. Melbourne: Wicking Dementia Research and Education Centre.</w:t>
      </w:r>
    </w:p>
    <w:p>
      <w:pPr>
        <w:pStyle w:val="BodyText"/>
      </w:pPr>
      <w:r>
        <w:t xml:space="preserve">This report summarizes the progress of dementia research initiatives in Victoria. It covers clinical trials, patient engagement strategies, and the integration of data science in understanding neurodegenerative diseases.</w:t>
      </w:r>
    </w:p>
    <w:p>
      <w:pPr>
        <w:pStyle w:val="BodyText"/>
      </w:pPr>
      <w:r>
        <w:t xml:space="preserve">The report is data-rich and demonstrates the practical application of medical research in addressing specific health challenges. It highlights the importance of community engagement in research design.</w:t>
      </w:r>
    </w:p>
    <w:p>
      <w:pPr>
        <w:pStyle w:val="BodyText"/>
      </w:pPr>
      <w:r>
        <w:t xml:space="preserve">Melbourne is a leader in dementia research. For a Medical Researcher specializing in neurology or geriatrics in Australia Melbourne, this report offers valuable case studies on how to conduct large-scale, community-focused medical research.</w:t>
      </w:r>
    </w:p>
    <w:p>
      <w:pPr>
        <w:pStyle w:val="BodyText"/>
      </w:pPr>
      <w:r>
        <w:t xml:space="preserve">Australian Institute of Health and Welfare (AIHW). (2023).</w:t>
      </w:r>
      <w:r>
        <w:t xml:space="preserve"> </w:t>
      </w:r>
      <w:r>
        <w:rPr>
          <w:iCs/>
          <w:i/>
        </w:rPr>
        <w:t xml:space="preserve">Health Research in Australia: Workforce and Infrastructure</w:t>
      </w:r>
      <w:r>
        <w:t xml:space="preserve">. Canberra: AIHW.</w:t>
      </w:r>
    </w:p>
    <w:p>
      <w:pPr>
        <w:pStyle w:val="BodyText"/>
      </w:pPr>
      <w:r>
        <w:t xml:space="preserve">This publication provides statistical data on the health research workforce in Australia, including the distribution of Medical Researchers across states and territories. It analyzes trends in employment, funding, and research output.</w:t>
      </w:r>
    </w:p>
    <w:p>
      <w:pPr>
        <w:pStyle w:val="BodyText"/>
      </w:pPr>
      <w:r>
        <w:t xml:space="preserve">The AIHW is a trusted government agency. The data presented is objective and comprehensive, offering a macro-level view of the research environment.</w:t>
      </w:r>
    </w:p>
    <w:p>
      <w:pPr>
        <w:pStyle w:val="BodyText"/>
      </w:pPr>
      <w:r>
        <w:t xml:space="preserve">This source is crucial for understanding the competitive landscape for a Medical Researcher in Australia Melbourne. It highlights Melbourne's dominance in research output and helps professionals benchmark their career progression against national standards.</w:t>
      </w:r>
    </w:p>
    <w:p>
      <w:pPr>
        <w:pStyle w:val="BodyText"/>
      </w:pPr>
      <w:r>
        <w:t xml:space="preserve">Monash University. (2024).</w:t>
      </w:r>
      <w:r>
        <w:t xml:space="preserve"> </w:t>
      </w:r>
      <w:r>
        <w:rPr>
          <w:iCs/>
          <w:i/>
        </w:rPr>
        <w:t xml:space="preserve">Monash Biomedicine Discovery Institute: Research Themes and Impact</w:t>
      </w:r>
      <w:r>
        <w:t xml:space="preserve">. Melbourne: Monash University.</w:t>
      </w:r>
    </w:p>
    <w:p>
      <w:pPr>
        <w:pStyle w:val="BodyText"/>
      </w:pPr>
      <w:r>
        <w:t xml:space="preserve">This document outlines the core research themes of the Biomedicine Discovery Institute (BDI), including infectious diseases, cancer, and metabolic health. It emphasizes the institute's role in translating discoveries into therapies.</w:t>
      </w:r>
    </w:p>
    <w:p>
      <w:pPr>
        <w:pStyle w:val="BodyText"/>
      </w:pPr>
      <w:r>
        <w:t xml:space="preserve">The content is well-structured and highlights the interdisciplinary nature of modern medical research. It showcases the strong links between Monash University and the broader healthcare sector in Melbourne.</w:t>
      </w:r>
    </w:p>
    <w:p>
      <w:pPr>
        <w:pStyle w:val="BodyText"/>
      </w:pPr>
      <w:r>
        <w:t xml:space="preserve">As one of the leading research institutions in Australia Melbourne, the BDI is a key player for any Medical Researcher. This document helps identify potential collaboration opportunities and emerging research trends in the city.</w:t>
      </w:r>
    </w:p>
    <w:p>
      <w:pPr>
        <w:pStyle w:val="BodyText"/>
      </w:pPr>
      <w:r>
        <w:t xml:space="preserve">Victorian Government. (2023).</w:t>
      </w:r>
      <w:r>
        <w:t xml:space="preserve"> </w:t>
      </w:r>
      <w:r>
        <w:rPr>
          <w:iCs/>
          <w:i/>
        </w:rPr>
        <w:t xml:space="preserve">Victoria’s Health and Medical Research Strategy 2023-2033</w:t>
      </w:r>
      <w:r>
        <w:t xml:space="preserve">. Melbourne: Department of Health.</w:t>
      </w:r>
    </w:p>
    <w:p>
      <w:pPr>
        <w:pStyle w:val="BodyText"/>
      </w:pPr>
      <w:r>
        <w:t xml:space="preserve">This state-level strategy outlines the government's vision for health and medical research in Victoria. It focuses on building a world-class research ecosystem, supporting early-career researchers, and fostering industry partnerships.</w:t>
      </w:r>
    </w:p>
    <w:p>
      <w:pPr>
        <w:pStyle w:val="BodyText"/>
      </w:pPr>
      <w:r>
        <w:t xml:space="preserve">The strategy is forward-looking and policy-driven. It provides a clear roadmap for how the state intends to support Medical Researchers over the next decade.</w:t>
      </w:r>
    </w:p>
    <w:p>
      <w:pPr>
        <w:pStyle w:val="BodyText"/>
      </w:pPr>
      <w:r>
        <w:t xml:space="preserve">For a Medical Researcher in Australia Melbourne, understanding state policy is vital. This document reveals funding priorities and regulatory directions that will directly impact research projects conducted in the region.</w:t>
      </w:r>
    </w:p>
    <w:p>
      <w:pPr>
        <w:pStyle w:val="BodyText"/>
      </w:pPr>
      <w:r>
        <w:t xml:space="preserve">Peter MacCallum Cancer Centre. (2024).</w:t>
      </w:r>
      <w:r>
        <w:t xml:space="preserve"> </w:t>
      </w:r>
      <w:r>
        <w:rPr>
          <w:iCs/>
          <w:i/>
        </w:rPr>
        <w:t xml:space="preserve">Research Excellence: Annual Review</w:t>
      </w:r>
      <w:r>
        <w:t xml:space="preserve">. Melbourne: Peter MacCallum Cancer Centre.</w:t>
      </w:r>
    </w:p>
    <w:p>
      <w:pPr>
        <w:pStyle w:val="BodyText"/>
      </w:pPr>
      <w:r>
        <w:t xml:space="preserve">This review details the cancer research achievements of the Peter MacCallum Cancer Centre, a world-renowned institution in Melbourne. It covers breakthroughs in immunotherapy, precision medicine, and clinical trials.</w:t>
      </w:r>
    </w:p>
    <w:p>
      <w:pPr>
        <w:pStyle w:val="BodyText"/>
      </w:pPr>
      <w:r>
        <w:t xml:space="preserve">The document is authoritative and showcases the high standard of oncology research in Melbourne. It is an excellent example of how a specialized institution contributes to global medical knowledge.</w:t>
      </w:r>
    </w:p>
    <w:p>
      <w:pPr>
        <w:pStyle w:val="BodyText"/>
      </w:pPr>
      <w:r>
        <w:t xml:space="preserve">Melbourne is a global leader in cancer research. For a Medical Researcher in this field, this review is essential reading to understand the local expertise, clinical trial infrastructure, and collaborative networks in Australia Melbourne.</w:t>
      </w:r>
    </w:p>
    <w:p>
      <w:pPr>
        <w:pStyle w:val="BodyText"/>
      </w:pPr>
      <w:r>
        <w:t xml:space="preserve">Australian Research Council (ARC). (2023).</w:t>
      </w:r>
      <w:r>
        <w:t xml:space="preserve"> </w:t>
      </w:r>
      <w:r>
        <w:rPr>
          <w:iCs/>
          <w:i/>
        </w:rPr>
        <w:t xml:space="preserve">Code of Conduct for Responsible Research</w:t>
      </w:r>
      <w:r>
        <w:t xml:space="preserve">. Canberra: ARC.</w:t>
      </w:r>
    </w:p>
    <w:p>
      <w:pPr>
        <w:pStyle w:val="BodyText"/>
      </w:pPr>
      <w:r>
        <w:t xml:space="preserve">This code sets out the ethical standards and responsibilities for researchers in Australia. It covers issues such as data integrity, authorship, and the treatment of human and animal subjects.</w:t>
      </w:r>
    </w:p>
    <w:p>
      <w:pPr>
        <w:pStyle w:val="BodyText"/>
      </w:pPr>
      <w:r>
        <w:t xml:space="preserve">The code is a mandatory reference for all researchers. It is clear, comprehensive, and legally significant.</w:t>
      </w:r>
    </w:p>
    <w:p>
      <w:pPr>
        <w:pStyle w:val="BodyText"/>
      </w:pPr>
      <w:r>
        <w:t xml:space="preserve">Adherence to this code is non-negotiable for any Medical Researcher in Australia Melbourne. It ensures that research conducted in the city meets national ethical standards, which is critical for publication, funding, and public trust.</w:t>
      </w:r>
    </w:p>
    <w:bookmarkEnd w:id="20"/>
    <w:bookmarkStart w:id="21" w:name="conclusion"/>
    <w:p>
      <w:pPr>
        <w:pStyle w:val="Heading2"/>
      </w:pPr>
      <w:r>
        <w:t xml:space="preserve">Conclusion</w:t>
      </w:r>
    </w:p>
    <w:p>
      <w:pPr>
        <w:pStyle w:val="FirstParagraph"/>
      </w:pPr>
      <w:r>
        <w:t xml:space="preserve">The resources listed above provide a robust foundation for understanding the role of the Medical Researcher in Australia Melbourne. From funding guidelines and ethical codes to institutional strategies and state policies, these documents highlight the dynamic and highly regulated nature of medical research in the region. For any professional or student entering this field, familiarity with these resources is essential for success.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Australia Melbourne</dc:title>
  <dc:creator/>
  <dc:language>en</dc:language>
  <cp:keywords/>
  <dcterms:created xsi:type="dcterms:W3CDTF">2026-08-07T07:20:47Z</dcterms:created>
  <dcterms:modified xsi:type="dcterms:W3CDTF">2026-08-07T07:20:47Z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