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Vancouver,</w:t>
      </w:r>
      <w:r>
        <w:t xml:space="preserve"> </w:t>
      </w:r>
      <w:r>
        <w:t xml:space="preserve">Canada</w:t>
      </w:r>
    </w:p>
    <w:bookmarkStart w:id="25" w:name="X9faf35057f80c8cb095ba0b6d425e9e902d32a6"/>
    <w:p>
      <w:pPr>
        <w:pStyle w:val="Heading1"/>
      </w:pPr>
      <w:r>
        <w:t xml:space="preserve">Annotated Bibliography: The Role of the Medical Researcher in Vancouver, Canada</w:t>
      </w:r>
    </w:p>
    <w:p>
      <w:pPr>
        <w:pStyle w:val="FirstParagraph"/>
      </w:pPr>
      <w:r>
        <w:t xml:space="preserve">This annotated bibliography compiles key resources regarding the profession of the Medical Researcher within the specific context of Vancouver, British Columbia, Canada. Vancouver serves as a critical hub for biomedical innovation, hosting world-class institutions such as the University of British Columbia (UBC), the Vancouver Coastal Health Research Institute (VCHRI), and the BC Cancer Research Centre. The following entries explore the regulatory frameworks, funding landscapes, ethical considerations, and career pathways essential for medical researchers operating in this region.</w:t>
      </w:r>
    </w:p>
    <w:bookmarkStart w:id="20" w:name="regulatory-frameworks-and-ethics"/>
    <w:p>
      <w:pPr>
        <w:pStyle w:val="Heading2"/>
      </w:pPr>
      <w:r>
        <w:t xml:space="preserve">Regulatory Frameworks and Ethics</w:t>
      </w:r>
    </w:p>
    <w:p>
      <w:pPr>
        <w:pStyle w:val="FirstParagraph"/>
      </w:pPr>
      <w:r>
        <w:t xml:space="preserve">Tri-Council Policy Statement: Ethical Conduct for Research Involving Humans (TCPS 2). (2018). Government of Canada.</w:t>
      </w:r>
    </w:p>
    <w:p>
      <w:pPr>
        <w:pStyle w:val="BodyText"/>
      </w:pPr>
      <w:r>
        <w:t xml:space="preserve">The TCPS 2 is the foundational document governing research ethics in Canada. For a medical researcher in Vancouver, this document is mandatory reading. It outlines the ethical principles of respect for persons, concern for welfare, and justice. Given Vancouver's diverse population and significant Indigenous communities, the TCPS 2 provides specific guidance on research involving First Nations, Inuit, and Métis peoples. This resource is critical for researchers at institutions like UBC and the First Nations University of Canada to ensure their studies comply with federal standards and respect local cultural protocols.</w:t>
      </w:r>
    </w:p>
    <w:p>
      <w:pPr>
        <w:pStyle w:val="BodyText"/>
      </w:pPr>
      <w:r>
        <w:t xml:space="preserve">Health Canada. (2023). Food and Drug Regulations: Clinical Trials.</w:t>
      </w:r>
    </w:p>
    <w:p>
      <w:pPr>
        <w:pStyle w:val="BodyText"/>
      </w:pPr>
      <w:r>
        <w:t xml:space="preserve">This regulatory framework dictates the legal requirements for conducting clinical trials in Canada. Medical researchers in Vancouver frequently collaborate with pharmaceutical companies and hospitals to test new therapies. Understanding these regulations is vital for ensuring patient safety and data integrity. The document details the requirements for Investigational Health Product Licenses (IHPLs) and the oversight mechanisms required by the Therapeutic Products Directorate. For researchers based in Vancouver's robust clinical trial network, adherence to these federal regulations is non-negotiable for the approval and execution of medical studies.</w:t>
      </w:r>
    </w:p>
    <w:bookmarkEnd w:id="20"/>
    <w:bookmarkStart w:id="21" w:name="funding-and-career-development"/>
    <w:p>
      <w:pPr>
        <w:pStyle w:val="Heading2"/>
      </w:pPr>
      <w:r>
        <w:t xml:space="preserve">Funding and Career Development</w:t>
      </w:r>
    </w:p>
    <w:p>
      <w:pPr>
        <w:pStyle w:val="FirstParagraph"/>
      </w:pPr>
      <w:r>
        <w:t xml:space="preserve">Canadian Institutes of Health Research (CIHR). (2024). Funding Programs and Opportunities.</w:t>
      </w:r>
    </w:p>
    <w:p>
      <w:pPr>
        <w:pStyle w:val="BodyText"/>
      </w:pPr>
      <w:r>
        <w:t xml:space="preserve">The CIHR is the primary federal agency funding health research in Canada. This resource is indispensable for medical researchers in Vancouver seeking financial support for their projects. The CIHR offers various grants, including the Discovery Grants and the Canada Research Chairs program, which are highly competitive. Vancouver-based researchers must navigate these specific application guidelines to secure funding. The document also highlights strategic priorities relevant to British Columbia, such as mental health and aging populations, allowing researchers to align their proposals with national and regional health needs.</w:t>
      </w:r>
    </w:p>
    <w:p>
      <w:pPr>
        <w:pStyle w:val="BodyText"/>
      </w:pPr>
      <w:r>
        <w:t xml:space="preserve">British Columbia Knowledge Development Fund (BC KDF). (2023). Strategic Investment in Health Research.</w:t>
      </w:r>
    </w:p>
    <w:p>
      <w:pPr>
        <w:pStyle w:val="BodyText"/>
      </w:pPr>
      <w:r>
        <w:t xml:space="preserve">While federal funding is crucial, provincial support is equally important for researchers in Vancouver. The BC KDF provides funding for research that addresses specific health challenges within British Columbia. This resource outlines opportunities for medical researchers to collaborate across sectors, including academia, industry, and government. For a researcher in Vancouver, leveraging BC KDF funds can facilitate partnerships with local health authorities like Vancouver Coastal Health, ensuring that research outcomes are directly applicable to the provincial healthcare system.</w:t>
      </w:r>
    </w:p>
    <w:bookmarkEnd w:id="21"/>
    <w:bookmarkStart w:id="22" w:name="institutional-context-and-collaboration"/>
    <w:p>
      <w:pPr>
        <w:pStyle w:val="Heading2"/>
      </w:pPr>
      <w:r>
        <w:t xml:space="preserve">Institutional Context and Collaboration</w:t>
      </w:r>
    </w:p>
    <w:p>
      <w:pPr>
        <w:pStyle w:val="FirstParagraph"/>
      </w:pPr>
      <w:r>
        <w:t xml:space="preserve">University of British Columbia. (2023). Office of Research Services: Researcher Toolkit.</w:t>
      </w:r>
    </w:p>
    <w:p>
      <w:pPr>
        <w:pStyle w:val="BodyText"/>
      </w:pPr>
      <w:r>
        <w:t xml:space="preserve">As one of Canada's leading research universities, UBC is a central employer for medical researchers in Vancouver. This toolkit provides practical guidance on navigating the university's internal research policies, intellectual property rights, and grant management. For a medical researcher, understanding UBC's specific administrative requirements is essential for career progression. The document also highlights UBC's commitment to open science and data sharing, reflecting modern trends in medical research that are particularly prominent in Vancouver's academic community.</w:t>
      </w:r>
    </w:p>
    <w:p>
      <w:pPr>
        <w:pStyle w:val="BodyText"/>
      </w:pPr>
      <w:r>
        <w:t xml:space="preserve">Vancouver Coastal Health Research Institute (VCHRI). (2022). Annual Report: Advancing Health Through Research.</w:t>
      </w:r>
    </w:p>
    <w:p>
      <w:pPr>
        <w:pStyle w:val="BodyText"/>
      </w:pPr>
      <w:r>
        <w:t xml:space="preserve">VCHRI is a major player in Vancouver's medical research landscape, focusing on translating research into improved patient care. This annual report provides insights into the institute's key research areas, including cancer, cardiovascular disease, and mental health. For medical researchers, this document serves as a roadmap for potential collaborations. It highlights the importance of clinical research in Vancouver and demonstrates how researchers can partner with healthcare providers to implement evidence-based practices. The report also underscores the role of medical researchers in addressing health disparities within the Vancouver region.</w:t>
      </w:r>
    </w:p>
    <w:bookmarkEnd w:id="22"/>
    <w:bookmarkStart w:id="23" w:name="specialized-research-areas"/>
    <w:p>
      <w:pPr>
        <w:pStyle w:val="Heading2"/>
      </w:pPr>
      <w:r>
        <w:t xml:space="preserve">Specialized Research Areas</w:t>
      </w:r>
    </w:p>
    <w:p>
      <w:pPr>
        <w:pStyle w:val="FirstParagraph"/>
      </w:pPr>
      <w:r>
        <w:t xml:space="preserve">BC Cancer Research Centre. (2023). Strategic Plan: Leading Cancer Research in British Columbia.</w:t>
      </w:r>
    </w:p>
    <w:p>
      <w:pPr>
        <w:pStyle w:val="BodyText"/>
      </w:pPr>
      <w:r>
        <w:t xml:space="preserve">Vancouver is home to the BC Cancer Research Centre, a world-renowned institution dedicated to cancer research. This strategic plan outlines the centre's priorities, including precision medicine and immunotherapy. For medical researchers specializing in oncology, this document is a key resource for understanding the direction of cancer research in Vancouver. It also highlights opportunities for interdisciplinary collaboration, which is a hallmark of the Vancouver research ecosystem. The plan emphasizes the importance of integrating research with clinical practice to improve cancer outcomes for patients in British Columbia.</w:t>
      </w:r>
    </w:p>
    <w:p>
      <w:pPr>
        <w:pStyle w:val="BodyText"/>
      </w:pPr>
      <w:r>
        <w:t xml:space="preserve">Centre for Health Evaluation and Outcome Sciences (CHEOS). (2024). Research Programs and Initiatives.</w:t>
      </w:r>
    </w:p>
    <w:p>
      <w:pPr>
        <w:pStyle w:val="BodyText"/>
      </w:pPr>
      <w:r>
        <w:t xml:space="preserve">CHEOS, affiliated with the University of British Columbia, focuses on health services research and outcomes. This resource is valuable for medical researchers interested in the broader impact of healthcare policies and practices. CHEOS conducts research that informs decision-making at the provincial and national levels. For researchers in Vancouver, this document highlights the importance of evaluating healthcare systems and improving patient outcomes through rigorous research. It also provides opportunities for collaboration with health policymakers and practitioners, ensuring that research findings are translated into actionable insights.</w:t>
      </w:r>
    </w:p>
    <w:bookmarkEnd w:id="23"/>
    <w:bookmarkStart w:id="24" w:name="conclusion"/>
    <w:p>
      <w:pPr>
        <w:pStyle w:val="Heading2"/>
      </w:pPr>
      <w:r>
        <w:t xml:space="preserve">Conclusion</w:t>
      </w:r>
    </w:p>
    <w:p>
      <w:pPr>
        <w:pStyle w:val="FirstParagraph"/>
      </w:pPr>
      <w:r>
        <w:t xml:space="preserve">This annotated bibliography provides a comprehensive overview of the resources available to medical researchers in Vancouver, Canada. From regulatory frameworks and funding opportunities to institutional collaborations and specialized research areas, these documents offer valuable insights into the profession. By leveraging these resources, medical researchers in Vancouver can contribute to advancing healthcare and improving the well-being of communities in British Columbia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Vancouver, Canada</dc:title>
  <dc:creator/>
  <dc:language>en</dc:language>
  <cp:keywords/>
  <dcterms:created xsi:type="dcterms:W3CDTF">2026-08-07T04:18:45Z</dcterms:created>
  <dcterms:modified xsi:type="dcterms:W3CDTF">2026-08-07T04:18:45Z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