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Berlin</w:t>
      </w:r>
    </w:p>
    <w:bookmarkStart w:id="25" w:name="X47eddd747c9b29fe76f1a46b3f3cf057f92deee"/>
    <w:p>
      <w:pPr>
        <w:pStyle w:val="Heading1"/>
      </w:pPr>
      <w:r>
        <w:t xml:space="preserve">Annotated Bibliography: The Role and Landscape of the Medical Researcher in Germany Berlin</w:t>
      </w:r>
    </w:p>
    <w:p>
      <w:pPr>
        <w:pStyle w:val="FirstParagraph"/>
      </w:pPr>
      <w:r>
        <w:t xml:space="preserve">This annotated bibliography compiles essential resources regarding the professional landscape, regulatory environment, and institutional frameworks for medical researchers operating in Berlin, Germany. The following entries provide a comprehensive overview of the opportunities, challenges, and specific requirements for scientists and clinicians contributing to medical science in this major European research hub.</w:t>
      </w:r>
    </w:p>
    <w:bookmarkStart w:id="20" w:name="X8c73502f435cca6b86d2a3226f516f15ede3cec"/>
    <w:p>
      <w:pPr>
        <w:pStyle w:val="Heading2"/>
      </w:pPr>
      <w:r>
        <w:t xml:space="preserve">Introduction to the Berlin Research Ecosystem</w:t>
      </w:r>
    </w:p>
    <w:p>
      <w:pPr>
        <w:pStyle w:val="FirstParagraph"/>
      </w:pPr>
      <w:r>
        <w:t xml:space="preserve">Berlin Institute of Health (BIH). (2023).</w:t>
      </w:r>
      <w:r>
        <w:t xml:space="preserve"> </w:t>
      </w:r>
      <w:r>
        <w:rPr>
          <w:iCs/>
          <w:i/>
        </w:rPr>
        <w:t xml:space="preserve">Research Strategy 2025: Translational Medicine in the Capital.</w:t>
      </w:r>
      <w:r>
        <w:t xml:space="preserve"> </w:t>
      </w:r>
      <w:r>
        <w:t xml:space="preserve">Berlin: BIH Publications.</w:t>
      </w:r>
    </w:p>
    <w:p>
      <w:pPr>
        <w:pStyle w:val="BodyText"/>
      </w:pPr>
      <w:r>
        <w:t xml:space="preserve">This strategic document outlines the core mission of the Berlin Institute of Health, a central entity for any medical researcher in the city. It details the integration of clinical research with basic science, emphasizing the "Berlin Model" of translational medicine. For a medical researcher, this text is crucial as it defines the collaborative expectations between the Charité – Universitätsmedizin Berlin and the Max Delbrück Center for Molecular Medicine. It highlights specific funding priorities in oncology, immunology, and infectious diseases, providing a roadmap for aligning research proposals with local institutional goals.</w:t>
      </w:r>
    </w:p>
    <w:p>
      <w:pPr>
        <w:pStyle w:val="BodyText"/>
      </w:pPr>
      <w:r>
        <w:t xml:space="preserve">Charité – Universitätsmedizin Berlin. (2022).</w:t>
      </w:r>
      <w:r>
        <w:t xml:space="preserve"> </w:t>
      </w:r>
      <w:r>
        <w:rPr>
          <w:iCs/>
          <w:i/>
        </w:rPr>
        <w:t xml:space="preserve">Annual Report: Clinical Research and Innovation.</w:t>
      </w:r>
      <w:r>
        <w:t xml:space="preserve"> </w:t>
      </w:r>
      <w:r>
        <w:t xml:space="preserve">Berlin: Charité Press.</w:t>
      </w:r>
    </w:p>
    <w:p>
      <w:pPr>
        <w:pStyle w:val="BodyText"/>
      </w:pPr>
      <w:r>
        <w:t xml:space="preserve">As the largest university hospital in Europe, the Charité is the primary employer for medical researchers in Berlin. This annual report provides quantitative data on clinical trials, patient recruitment, and interdisciplinary collaborations. It is an essential resource for understanding the scale of operations in Berlin. The report specifically addresses the infrastructure available for researchers, including biobanks and imaging centers, and offers insights into the hospital's commitment to ethical standards and patient safety, which are paramount for any researcher planning to conduct clinical studies in Germany.</w:t>
      </w:r>
    </w:p>
    <w:bookmarkEnd w:id="20"/>
    <w:bookmarkStart w:id="21" w:name="regulatory-frameworks-and-ethics"/>
    <w:p>
      <w:pPr>
        <w:pStyle w:val="Heading2"/>
      </w:pPr>
      <w:r>
        <w:t xml:space="preserve">Regulatory Frameworks and Ethics</w:t>
      </w:r>
    </w:p>
    <w:p>
      <w:pPr>
        <w:pStyle w:val="FirstParagraph"/>
      </w:pPr>
      <w:r>
        <w:t xml:space="preserve">Federal Ministry of Health (BMG). (2021).</w:t>
      </w:r>
      <w:r>
        <w:t xml:space="preserve"> </w:t>
      </w:r>
      <w:r>
        <w:rPr>
          <w:iCs/>
          <w:i/>
        </w:rPr>
        <w:t xml:space="preserve">Guidelines for Clinical Trials in Germany: Legal and Ethical Requirements.</w:t>
      </w:r>
      <w:r>
        <w:t xml:space="preserve"> </w:t>
      </w:r>
      <w:r>
        <w:t xml:space="preserve">Berlin: BMG.</w:t>
      </w:r>
    </w:p>
    <w:p>
      <w:pPr>
        <w:pStyle w:val="BodyText"/>
      </w:pPr>
      <w:r>
        <w:t xml:space="preserve">Navigating the legal landscape is critical for medical researchers in Germany. This publication from the Federal Ministry of Health details the implementation of the German Drug Law (AMG) and the Medical Devices Act (MPG). It explains the rigorous approval processes required by the Paul-Ehrlich-Institute and the Federal Institute for Drugs and Medical Devices (BfArM). For a researcher in Berlin, understanding these federal regulations is non-negotiable, as they dictate the timeline and feasibility of clinical research projects. The document also clarifies the role of ethics committees, which are mandatory for all human-subject research in the region.</w:t>
      </w:r>
    </w:p>
    <w:p>
      <w:pPr>
        <w:pStyle w:val="BodyText"/>
      </w:pPr>
      <w:r>
        <w:t xml:space="preserve">European Commission. (2020).</w:t>
      </w:r>
      <w:r>
        <w:t xml:space="preserve"> </w:t>
      </w:r>
      <w:r>
        <w:rPr>
          <w:iCs/>
          <w:i/>
        </w:rPr>
        <w:t xml:space="preserve">The Clinical Trials Regulation (EU) No 536/2014: Impact on National Systems.</w:t>
      </w:r>
      <w:r>
        <w:t xml:space="preserve"> </w:t>
      </w:r>
      <w:r>
        <w:t xml:space="preserve">Brussels: European Commission.</w:t>
      </w:r>
    </w:p>
    <w:p>
      <w:pPr>
        <w:pStyle w:val="BodyText"/>
      </w:pPr>
      <w:r>
        <w:t xml:space="preserve">While a European document, this text is vital for medical researchers in Berlin due to the city's high volume of multinational clinical trials. It explains the harmonization of clinical trial procedures across the EU, which simplifies the process for researchers conducting multi-center studies involving Berlin institutions. The annotation highlights how this regulation affects data protection (GDPR) and patient rights, ensuring that researchers in Germany Berlin are compliant with both national and supranational standards. It serves as a bridge between local German bureaucracy and broader European scientific cooperation.</w:t>
      </w:r>
    </w:p>
    <w:bookmarkEnd w:id="21"/>
    <w:bookmarkStart w:id="22" w:name="funding-and-career-development"/>
    <w:p>
      <w:pPr>
        <w:pStyle w:val="Heading2"/>
      </w:pPr>
      <w:r>
        <w:t xml:space="preserve">Funding and Career Development</w:t>
      </w:r>
    </w:p>
    <w:p>
      <w:pPr>
        <w:pStyle w:val="FirstParagraph"/>
      </w:pPr>
      <w:r>
        <w:t xml:space="preserve">German Research Foundation (DFG). (2023).</w:t>
      </w:r>
      <w:r>
        <w:t xml:space="preserve"> </w:t>
      </w:r>
      <w:r>
        <w:rPr>
          <w:iCs/>
          <w:i/>
        </w:rPr>
        <w:t xml:space="preserve">Programmes for Medical Research: Funding Opportunities and Guidelines.</w:t>
      </w:r>
      <w:r>
        <w:t xml:space="preserve"> </w:t>
      </w:r>
      <w:r>
        <w:t xml:space="preserve">Bonn: DFG.</w:t>
      </w:r>
    </w:p>
    <w:p>
      <w:pPr>
        <w:pStyle w:val="BodyText"/>
      </w:pPr>
      <w:r>
        <w:t xml:space="preserve">The DFG is the primary funding organization for academic research in Germany. This guide is indispensable for medical researchers in Berlin seeking financial support for their projects. It outlines various funding lines, including Emmy Noether grants for young researchers and collaborative research centers (SFBs). Given Berlin's status as a research powerhouse, competition for DFG funding is intense. This document provides strategic advice on proposal writing, peer review processes, and the specific criteria used to evaluate medical research excellence in the German context.</w:t>
      </w:r>
    </w:p>
    <w:p>
      <w:pPr>
        <w:pStyle w:val="BodyText"/>
      </w:pPr>
      <w:r>
        <w:t xml:space="preserve">Berlin-Brandenburg Academy of Sciences and Humanities. (2022).</w:t>
      </w:r>
      <w:r>
        <w:t xml:space="preserve"> </w:t>
      </w:r>
      <w:r>
        <w:rPr>
          <w:iCs/>
          <w:i/>
        </w:rPr>
        <w:t xml:space="preserve">Career Paths for Scientists in Berlin: From PhD to Professorship.</w:t>
      </w:r>
      <w:r>
        <w:t xml:space="preserve"> </w:t>
      </w:r>
      <w:r>
        <w:t xml:space="preserve">Berlin: BBAW.</w:t>
      </w:r>
    </w:p>
    <w:p>
      <w:pPr>
        <w:pStyle w:val="BodyText"/>
      </w:pPr>
      <w:r>
        <w:t xml:space="preserve">This report addresses the career trajectory of medical researchers within the Berlin-Brandenburg region. It analyzes the "Tenure Track" system, which has been increasingly adopted by Berlin universities to retain top talent. For international medical researchers considering a move to Berlin, this text offers valuable insights into the academic hierarchy, salary scales (TV-L), and the balance between clinical duties and research time. It also discusses the challenges of work-life balance and the support systems available for female researchers and those with families in the German academic system.</w:t>
      </w:r>
    </w:p>
    <w:bookmarkEnd w:id="22"/>
    <w:bookmarkStart w:id="23" w:name="specialized-research-areas-in-berlin"/>
    <w:p>
      <w:pPr>
        <w:pStyle w:val="Heading2"/>
      </w:pPr>
      <w:r>
        <w:t xml:space="preserve">Specialized Research Areas in Berlin</w:t>
      </w:r>
    </w:p>
    <w:p>
      <w:pPr>
        <w:pStyle w:val="FirstParagraph"/>
      </w:pPr>
      <w:r>
        <w:t xml:space="preserve">Max Delbrück Center for Molecular Medicine (MDC). (2023).</w:t>
      </w:r>
      <w:r>
        <w:t xml:space="preserve"> </w:t>
      </w:r>
      <w:r>
        <w:rPr>
          <w:iCs/>
          <w:i/>
        </w:rPr>
        <w:t xml:space="preserve">Annual Review: Molecular Medicine and Biotechnology.</w:t>
      </w:r>
      <w:r>
        <w:t xml:space="preserve"> </w:t>
      </w:r>
      <w:r>
        <w:t xml:space="preserve">Berlin: MDC.</w:t>
      </w:r>
    </w:p>
    <w:p>
      <w:pPr>
        <w:pStyle w:val="BodyText"/>
      </w:pPr>
      <w:r>
        <w:t xml:space="preserve">The MDC is a leading non-university research institute in Berlin, focusing on molecular medicine. This review highlights cutting-edge research in genomics, proteomics, and systems biology. For a medical researcher specializing in basic science, this document showcases the technological infrastructure and collaborative networks available in Berlin. It emphasizes the institute's role in bridging the gap between laboratory discoveries and clinical applications, making it a key reference for understanding the translational research landscape in the German capital.</w:t>
      </w:r>
    </w:p>
    <w:p>
      <w:pPr>
        <w:pStyle w:val="BodyText"/>
      </w:pPr>
      <w:r>
        <w:t xml:space="preserve">Robert Koch Institute (RKI). (2022).</w:t>
      </w:r>
      <w:r>
        <w:t xml:space="preserve"> </w:t>
      </w:r>
      <w:r>
        <w:rPr>
          <w:iCs/>
          <w:i/>
        </w:rPr>
        <w:t xml:space="preserve">Epidemiological Research and Public Health in Germany.</w:t>
      </w:r>
      <w:r>
        <w:t xml:space="preserve"> </w:t>
      </w:r>
      <w:r>
        <w:t xml:space="preserve">Berlin: RKI.</w:t>
      </w:r>
    </w:p>
    <w:p>
      <w:pPr>
        <w:pStyle w:val="BodyText"/>
      </w:pPr>
      <w:r>
        <w:t xml:space="preserve">Located in Berlin, the RKI is the federal public health institute of Germany. This publication is essential for medical researchers interested in epidemiology, infectious diseases, and public health policy. It details the RKI's surveillance systems and research methodologies, which are critical for understanding disease patterns in Germany. For researchers collaborating with government bodies or focusing on pandemic preparedness, this text provides authoritative data and insights into the national health strategy, reflecting Berlin's role as the political and scientific center of German public health.</w:t>
      </w:r>
    </w:p>
    <w:bookmarkEnd w:id="23"/>
    <w:bookmarkStart w:id="24" w:name="conclusion"/>
    <w:p>
      <w:pPr>
        <w:pStyle w:val="Heading2"/>
      </w:pPr>
      <w:r>
        <w:t xml:space="preserve">Conclusion</w:t>
      </w:r>
    </w:p>
    <w:p>
      <w:pPr>
        <w:pStyle w:val="FirstParagraph"/>
      </w:pPr>
      <w:r>
        <w:t xml:space="preserve">The resources compiled in this annotated bibliography illustrate the dynamic and highly regulated environment for medical researchers in Germany Berlin. From the translational focus of the Berlin Institute of Health to the strict regulatory guidelines of the Federal Ministry of Health, these documents provide a foundational understanding of the ecosystem. Success in this field requires not only scientific excellence but also a deep understanding of the local institutional frameworks, funding mechanisms, and ethical standards that define medical research in the German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Germany Berlin</dc:title>
  <dc:creator/>
  <dc:language>en</dc:language>
  <cp:keywords/>
  <dcterms:created xsi:type="dcterms:W3CDTF">2026-08-07T20:26:19Z</dcterms:created>
  <dcterms:modified xsi:type="dcterms:W3CDTF">2026-08-07T20:26:19Z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