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Almaty,</w:t>
      </w:r>
      <w:r>
        <w:t xml:space="preserve"> </w:t>
      </w:r>
      <w:r>
        <w:t xml:space="preserve">Kazakhstan</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Evolving Role of the Medical Researcher in Almaty, Kazakhstan</w:t>
      </w:r>
    </w:p>
    <w:p>
      <w:pPr>
        <w:pStyle w:val="BodyText"/>
      </w:pPr>
      <w:r>
        <w:rPr>
          <w:bCs/>
          <w:b/>
        </w:rPr>
        <w:t xml:space="preserve">Context:</w:t>
      </w:r>
      <w:r>
        <w:t xml:space="preserve"> </w:t>
      </w:r>
      <w:r>
        <w:t xml:space="preserve">Healthcare Innovation, Public Health Policy, and Academic Development</w:t>
      </w:r>
    </w:p>
    <w:bookmarkEnd w:id="20"/>
    <w:p>
      <w:pPr>
        <w:pStyle w:val="BodyText"/>
      </w:pPr>
      <w:r>
        <w:t xml:space="preserve">The following annotated bibliography provides a comprehensive overview of the current landscape for the</w:t>
      </w:r>
      <w:r>
        <w:t xml:space="preserve"> </w:t>
      </w:r>
      <w:r>
        <w:rPr>
          <w:bCs/>
          <w:b/>
        </w:rPr>
        <w:t xml:space="preserve">Medical Researcher</w:t>
      </w:r>
      <w:r>
        <w:t xml:space="preserve"> </w:t>
      </w:r>
      <w:r>
        <w:t xml:space="preserve">operating within the specific context of</w:t>
      </w:r>
      <w:r>
        <w:t xml:space="preserve"> </w:t>
      </w:r>
      <w:r>
        <w:rPr>
          <w:bCs/>
          <w:b/>
        </w:rPr>
        <w:t xml:space="preserve">Kazakhstan Almaty</w:t>
      </w:r>
      <w:r>
        <w:t xml:space="preserve">. As the scientific and cultural capital of the nation, Almaty serves as the primary hub for biomedical innovation, housing major universities, research institutes, and international health organizations. This document examines the intersection of local epidemiological needs, government policy reforms, and the professional responsibilities of researchers dedicated to improving public health outcomes in Central Asia.</w:t>
      </w:r>
    </w:p>
    <w:bookmarkStart w:id="23" w:name="X333e7241f6564b90a520815344dfc903c8604ae"/>
    <w:p>
      <w:pPr>
        <w:pStyle w:val="Heading2"/>
      </w:pPr>
      <w:r>
        <w:t xml:space="preserve">1. National Health Strategy and Policy Frameworks</w:t>
      </w:r>
    </w:p>
    <w:bookmarkStart w:id="21" w:name="source-1-government-health-reforms"/>
    <w:p>
      <w:pPr>
        <w:pStyle w:val="Heading3"/>
      </w:pPr>
      <w:r>
        <w:t xml:space="preserve">Source 1: Government Health Reforms</w:t>
      </w:r>
    </w:p>
    <w:p>
      <w:pPr>
        <w:pStyle w:val="FirstParagraph"/>
      </w:pPr>
      <w:r>
        <w:t xml:space="preserve">Ministry of Health of the Republic of Kazakhstan. (2023).</w:t>
      </w:r>
      <w:r>
        <w:t xml:space="preserve"> </w:t>
      </w:r>
      <w:r>
        <w:rPr>
          <w:iCs/>
          <w:i/>
        </w:rPr>
        <w:t xml:space="preserve">Concept for the Development of the Healthcare System of the Republic of Kazakhstan for 2023–2029</w:t>
      </w:r>
      <w:r>
        <w:t xml:space="preserve">. Astana: Government Press.</w:t>
      </w:r>
    </w:p>
    <w:p>
      <w:pPr>
        <w:pStyle w:val="BodyText"/>
      </w:pPr>
      <w:r>
        <w:t xml:space="preserve">This foundational document outlines the strategic direction for the nation's healthcare infrastructure, with significant implications for the</w:t>
      </w:r>
      <w:r>
        <w:t xml:space="preserve"> </w:t>
      </w:r>
      <w:r>
        <w:rPr>
          <w:bCs/>
          <w:b/>
        </w:rPr>
        <w:t xml:space="preserve">Medical Researcher</w:t>
      </w:r>
      <w:r>
        <w:t xml:space="preserve"> </w:t>
      </w:r>
      <w:r>
        <w:t xml:space="preserve">based in</w:t>
      </w:r>
      <w:r>
        <w:t xml:space="preserve"> </w:t>
      </w:r>
      <w:r>
        <w:rPr>
          <w:bCs/>
          <w:b/>
        </w:rPr>
        <w:t xml:space="preserve">Kazakhstan Almaty</w:t>
      </w:r>
      <w:r>
        <w:t xml:space="preserve">. The text details the shift from a purely curative model to one that prioritizes preventive medicine and evidence-based practice. For researchers, this policy mandates a closer collaboration between clinical settings and academic institutions. The document highlights specific funding allocations for biomedical research centers located in major urban hubs like Almaty, emphasizing the need for local data to drive national policy. It is essential reading for understanding the regulatory environment and funding opportunities available to scientists working in the region.</w:t>
      </w:r>
    </w:p>
    <w:bookmarkEnd w:id="21"/>
    <w:bookmarkStart w:id="22" w:name="Xe210759c19037d2772ea86ef20877ce76c2691d"/>
    <w:p>
      <w:pPr>
        <w:pStyle w:val="Heading3"/>
      </w:pPr>
      <w:r>
        <w:t xml:space="preserve">Source 2: Digital Health and Data Integration</w:t>
      </w:r>
    </w:p>
    <w:p>
      <w:pPr>
        <w:pStyle w:val="FirstParagraph"/>
      </w:pPr>
      <w:r>
        <w:t xml:space="preserve">Kazakh Digital Health Initiative. (2022).</w:t>
      </w:r>
      <w:r>
        <w:t xml:space="preserve"> </w:t>
      </w:r>
      <w:r>
        <w:rPr>
          <w:iCs/>
          <w:i/>
        </w:rPr>
        <w:t xml:space="preserve">Integration of Electronic Health Records in Almaty: A Pilot Study for National Implementation</w:t>
      </w:r>
      <w:r>
        <w:t xml:space="preserve">. Journal of Central Asian Health Informatics, 14(2), 45-62.</w:t>
      </w:r>
    </w:p>
    <w:p>
      <w:pPr>
        <w:pStyle w:val="BodyText"/>
      </w:pPr>
      <w:r>
        <w:t xml:space="preserve">This article analyzes the implementation of digital health systems within the city of Almaty, serving as a case study for the rest of Kazakhstan. For the modern</w:t>
      </w:r>
      <w:r>
        <w:t xml:space="preserve"> </w:t>
      </w:r>
      <w:r>
        <w:rPr>
          <w:bCs/>
          <w:b/>
        </w:rPr>
        <w:t xml:space="preserve">Medical Researcher</w:t>
      </w:r>
      <w:r>
        <w:t xml:space="preserve">, this source is critical as it discusses the availability of large-scale datasets for epidemiological studies. The text explores how researchers in Almaty are utilizing anonymized patient data to track chronic disease trends, such as cardiovascular issues and diabetes, which are prevalent in the region. It also addresses the ethical considerations and data privacy laws that researchers must navigate when conducting studies in this digital environment.</w:t>
      </w:r>
    </w:p>
    <w:bookmarkEnd w:id="22"/>
    <w:bookmarkEnd w:id="23"/>
    <w:bookmarkStart w:id="26" w:name="X1b864f4b871fbabe5412b06f17f75e22c56f990"/>
    <w:p>
      <w:pPr>
        <w:pStyle w:val="Heading2"/>
      </w:pPr>
      <w:r>
        <w:t xml:space="preserve">2. Epidemiology and Public Health Challenges</w:t>
      </w:r>
    </w:p>
    <w:bookmarkStart w:id="24" w:name="X3681fae57ce2c175c01f46bf6bee9bbf559cb25"/>
    <w:p>
      <w:pPr>
        <w:pStyle w:val="Heading3"/>
      </w:pPr>
      <w:r>
        <w:t xml:space="preserve">Source 3: Cardiovascular Disease in Central Asia</w:t>
      </w:r>
    </w:p>
    <w:p>
      <w:pPr>
        <w:pStyle w:val="FirstParagraph"/>
      </w:pPr>
      <w:r>
        <w:t xml:space="preserve">Suleimenova, A., &amp; Nurpeisov, K. (2021).</w:t>
      </w:r>
      <w:r>
        <w:t xml:space="preserve"> </w:t>
      </w:r>
      <w:r>
        <w:rPr>
          <w:iCs/>
          <w:i/>
        </w:rPr>
        <w:t xml:space="preserve">Cardiovascular Risk Factors Among Urban Populations in Almaty: A Cross-Sectional Analysis</w:t>
      </w:r>
      <w:r>
        <w:t xml:space="preserve">. Central Asian Journal of Public Health, 8(3), 112-125.</w:t>
      </w:r>
    </w:p>
    <w:p>
      <w:pPr>
        <w:pStyle w:val="BodyText"/>
      </w:pPr>
      <w:r>
        <w:t xml:space="preserve">This peer-reviewed study focuses on the specific health burdens affecting the population of</w:t>
      </w:r>
      <w:r>
        <w:t xml:space="preserve"> </w:t>
      </w:r>
      <w:r>
        <w:rPr>
          <w:bCs/>
          <w:b/>
        </w:rPr>
        <w:t xml:space="preserve">Kazakhstan Almaty</w:t>
      </w:r>
      <w:r>
        <w:t xml:space="preserve">. The authors, who are prominent</w:t>
      </w:r>
      <w:r>
        <w:t xml:space="preserve"> </w:t>
      </w:r>
      <w:r>
        <w:rPr>
          <w:bCs/>
          <w:b/>
        </w:rPr>
        <w:t xml:space="preserve">Medical Researchers</w:t>
      </w:r>
      <w:r>
        <w:t xml:space="preserve"> </w:t>
      </w:r>
      <w:r>
        <w:t xml:space="preserve">at local institutions, identify lifestyle factors, pollution, and dietary habits as primary contributors to the high rate of cardiovascular disease in the city. The annotation highlights the methodology used, which serves as a model for future researchers conducting fieldwork in the region. The findings underscore the urgent need for targeted interventions and provide a baseline for evaluating the effectiveness of public health campaigns initiated by the city administration.</w:t>
      </w:r>
    </w:p>
    <w:bookmarkEnd w:id="24"/>
    <w:bookmarkStart w:id="25" w:name="source-4-infectious-disease-preparedness"/>
    <w:p>
      <w:pPr>
        <w:pStyle w:val="Heading3"/>
      </w:pPr>
      <w:r>
        <w:t xml:space="preserve">Source 4: Infectious Disease Preparedness</w:t>
      </w:r>
    </w:p>
    <w:p>
      <w:pPr>
        <w:pStyle w:val="FirstParagraph"/>
      </w:pPr>
      <w:r>
        <w:t xml:space="preserve">World Health Organization (WHO) Country Office for Kazakhstan. (2023).</w:t>
      </w:r>
      <w:r>
        <w:t xml:space="preserve"> </w:t>
      </w:r>
      <w:r>
        <w:rPr>
          <w:iCs/>
          <w:i/>
        </w:rPr>
        <w:t xml:space="preserve">Strengthening Laboratory Networks in Almaty for Pandemic Preparedness</w:t>
      </w:r>
      <w:r>
        <w:t xml:space="preserve">. WHO Regional Report.</w:t>
      </w:r>
    </w:p>
    <w:p>
      <w:pPr>
        <w:pStyle w:val="BodyText"/>
      </w:pPr>
      <w:r>
        <w:t xml:space="preserve">This report evaluates the capacity of research laboratories in Almaty to handle emerging infectious diseases. It positions the</w:t>
      </w:r>
      <w:r>
        <w:t xml:space="preserve"> </w:t>
      </w:r>
      <w:r>
        <w:rPr>
          <w:bCs/>
          <w:b/>
        </w:rPr>
        <w:t xml:space="preserve">Medical Researcher</w:t>
      </w:r>
      <w:r>
        <w:t xml:space="preserve"> </w:t>
      </w:r>
      <w:r>
        <w:t xml:space="preserve">in Almaty as a frontline defender of national biosecurity. The document details recent upgrades to biosafety levels in key Almaty institutes and the training programs implemented for local scientists. It emphasizes the importance of international collaboration, noting how researchers in Kazakhstan are integrating global protocols to monitor viral mutations and antibiotic resistance. This source is vital for understanding the operational standards and safety requirements for biomedical research in the country.</w:t>
      </w:r>
    </w:p>
    <w:bookmarkEnd w:id="25"/>
    <w:bookmarkEnd w:id="26"/>
    <w:bookmarkStart w:id="29" w:name="X2332f29e616f6c3d4f5c9101e27317f188bcd8e"/>
    <w:p>
      <w:pPr>
        <w:pStyle w:val="Heading2"/>
      </w:pPr>
      <w:r>
        <w:t xml:space="preserve">3. Academic Institutions and Research Infrastructure</w:t>
      </w:r>
    </w:p>
    <w:bookmarkStart w:id="27" w:name="source-5-the-role-of-l.n.-gumilyov-enu"/>
    <w:p>
      <w:pPr>
        <w:pStyle w:val="Heading3"/>
      </w:pPr>
      <w:r>
        <w:t xml:space="preserve">Source 5: The Role of L.N. Gumilyov ENU</w:t>
      </w:r>
    </w:p>
    <w:p>
      <w:pPr>
        <w:pStyle w:val="FirstParagraph"/>
      </w:pPr>
      <w:r>
        <w:t xml:space="preserve">Gumilyov Eurasian National University. (2022).</w:t>
      </w:r>
      <w:r>
        <w:t xml:space="preserve"> </w:t>
      </w:r>
      <w:r>
        <w:rPr>
          <w:iCs/>
          <w:i/>
        </w:rPr>
        <w:t xml:space="preserve">Annual Report on Biomedical Research and Innovation</w:t>
      </w:r>
      <w:r>
        <w:t xml:space="preserve">. Almaty: University Press.</w:t>
      </w:r>
    </w:p>
    <w:p>
      <w:pPr>
        <w:pStyle w:val="BodyText"/>
      </w:pPr>
      <w:r>
        <w:t xml:space="preserve">As one of the leading educational and scientific centers in</w:t>
      </w:r>
      <w:r>
        <w:t xml:space="preserve"> </w:t>
      </w:r>
      <w:r>
        <w:rPr>
          <w:bCs/>
          <w:b/>
        </w:rPr>
        <w:t xml:space="preserve">Kazakhstan Almaty</w:t>
      </w:r>
      <w:r>
        <w:t xml:space="preserve">, this annual report provides insight into the academic ecosystem supporting the</w:t>
      </w:r>
      <w:r>
        <w:t xml:space="preserve"> </w:t>
      </w:r>
      <w:r>
        <w:rPr>
          <w:bCs/>
          <w:b/>
        </w:rPr>
        <w:t xml:space="preserve">Medical Researcher</w:t>
      </w:r>
      <w:r>
        <w:t xml:space="preserve">. The document highlights the university's partnerships with international pharmaceutical companies and its focus on translational medicine. It details specific grants awarded to faculty members for research into oncology and genetics. For prospective researchers, this source offers a clear picture of the academic expectations, publication requirements, and collaborative opportunities available within Kazakhstan's premier university system.</w:t>
      </w:r>
    </w:p>
    <w:bookmarkEnd w:id="27"/>
    <w:bookmarkStart w:id="28" w:name="Xf348e75c1516afef1382e3d9343ccac8393e434"/>
    <w:p>
      <w:pPr>
        <w:pStyle w:val="Heading3"/>
      </w:pPr>
      <w:r>
        <w:t xml:space="preserve">Source 6: The National Center for Public Health</w:t>
      </w:r>
    </w:p>
    <w:p>
      <w:pPr>
        <w:pStyle w:val="FirstParagraph"/>
      </w:pPr>
      <w:r>
        <w:t xml:space="preserve">National Center for Public Health of the Ministry of Health. (2023).</w:t>
      </w:r>
      <w:r>
        <w:t xml:space="preserve"> </w:t>
      </w:r>
      <w:r>
        <w:rPr>
          <w:iCs/>
          <w:i/>
        </w:rPr>
        <w:t xml:space="preserve">Strategic Plan for Epidemiological Surveillance in Almaty Region</w:t>
      </w:r>
      <w:r>
        <w:t xml:space="preserve">. Astana: NC PH.</w:t>
      </w:r>
    </w:p>
    <w:p>
      <w:pPr>
        <w:pStyle w:val="BodyText"/>
      </w:pPr>
      <w:r>
        <w:t xml:space="preserve">This strategic plan outlines the operational goals for the National Center for Public Health, with a specific focus on the Almaty region. It defines the role of the</w:t>
      </w:r>
      <w:r>
        <w:t xml:space="preserve"> </w:t>
      </w:r>
      <w:r>
        <w:rPr>
          <w:bCs/>
          <w:b/>
        </w:rPr>
        <w:t xml:space="preserve">Medical Researcher</w:t>
      </w:r>
      <w:r>
        <w:t xml:space="preserve"> </w:t>
      </w:r>
      <w:r>
        <w:t xml:space="preserve">in maintaining continuous surveillance of disease outbreaks. The text emphasizes the need for rapid response teams and the integration of research findings into immediate public health actions. It also discusses the challenges of resource allocation and the importance of training local specialists to ensure sustainable health security in Kazakhstan.</w:t>
      </w:r>
    </w:p>
    <w:bookmarkEnd w:id="28"/>
    <w:bookmarkEnd w:id="29"/>
    <w:bookmarkStart w:id="32" w:name="X48315aba3f030d5a3186baee866ceee6c6b69bc"/>
    <w:p>
      <w:pPr>
        <w:pStyle w:val="Heading2"/>
      </w:pPr>
      <w:r>
        <w:t xml:space="preserve">4. Ethical Considerations and Professional Standards</w:t>
      </w:r>
    </w:p>
    <w:bookmarkStart w:id="30" w:name="X2b2fc3b7e913a0621b456d893e09dad552321fe"/>
    <w:p>
      <w:pPr>
        <w:pStyle w:val="Heading3"/>
      </w:pPr>
      <w:r>
        <w:t xml:space="preserve">Source 7: Bioethics in Kazakhstani Research</w:t>
      </w:r>
    </w:p>
    <w:p>
      <w:pPr>
        <w:pStyle w:val="FirstParagraph"/>
      </w:pPr>
      <w:r>
        <w:t xml:space="preserve">Kazakhstan Association of Bioethics. (2021).</w:t>
      </w:r>
      <w:r>
        <w:t xml:space="preserve"> </w:t>
      </w:r>
      <w:r>
        <w:rPr>
          <w:iCs/>
          <w:i/>
        </w:rPr>
        <w:t xml:space="preserve">Guidelines for Ethical Conduct in Medical Research: A National Framework</w:t>
      </w:r>
      <w:r>
        <w:t xml:space="preserve">. Almaty: KAB Publications.</w:t>
      </w:r>
    </w:p>
    <w:p>
      <w:pPr>
        <w:pStyle w:val="BodyText"/>
      </w:pPr>
      <w:r>
        <w:t xml:space="preserve">This guideline document is essential for any</w:t>
      </w:r>
      <w:r>
        <w:t xml:space="preserve"> </w:t>
      </w:r>
      <w:r>
        <w:rPr>
          <w:bCs/>
          <w:b/>
        </w:rPr>
        <w:t xml:space="preserve">Medical Researcher</w:t>
      </w:r>
      <w:r>
        <w:t xml:space="preserve"> </w:t>
      </w:r>
      <w:r>
        <w:t xml:space="preserve">conducting human subject studies in</w:t>
      </w:r>
      <w:r>
        <w:t xml:space="preserve"> </w:t>
      </w:r>
      <w:r>
        <w:rPr>
          <w:bCs/>
          <w:b/>
        </w:rPr>
        <w:t xml:space="preserve">Kazakhstan Almaty</w:t>
      </w:r>
      <w:r>
        <w:t xml:space="preserve">. It aligns local practices with international standards, such as the Declaration of Helsinki, while addressing cultural nuances specific to the Kazakh population. The text covers informed consent processes, data protection, and the ethical review board procedures required by local institutions. It serves as a practical manual for ensuring that research conducted in Almaty maintains the highest standards of integrity and respect for participants.</w:t>
      </w:r>
    </w:p>
    <w:bookmarkEnd w:id="30"/>
    <w:bookmarkStart w:id="31" w:name="X44ae272be12d9f234fb9d2705fe735ce1922423"/>
    <w:p>
      <w:pPr>
        <w:pStyle w:val="Heading3"/>
      </w:pPr>
      <w:r>
        <w:t xml:space="preserve">Source 8: International Collaboration and Funding</w:t>
      </w:r>
    </w:p>
    <w:p>
      <w:pPr>
        <w:pStyle w:val="FirstParagraph"/>
      </w:pPr>
      <w:r>
        <w:t xml:space="preserve">European Union Delegation to Kazakhstan. (2023).</w:t>
      </w:r>
      <w:r>
        <w:t xml:space="preserve"> </w:t>
      </w:r>
      <w:r>
        <w:rPr>
          <w:iCs/>
          <w:i/>
        </w:rPr>
        <w:t xml:space="preserve">Horizon Europe: Opportunities for Kazakhstani Researchers in Health and Life Sciences</w:t>
      </w:r>
      <w:r>
        <w:t xml:space="preserve">. Brussels: EU Publications.</w:t>
      </w:r>
    </w:p>
    <w:p>
      <w:pPr>
        <w:pStyle w:val="BodyText"/>
      </w:pPr>
      <w:r>
        <w:t xml:space="preserve">This informational brochure outlines the opportunities for</w:t>
      </w:r>
      <w:r>
        <w:t xml:space="preserve"> </w:t>
      </w:r>
      <w:r>
        <w:rPr>
          <w:bCs/>
          <w:b/>
        </w:rPr>
        <w:t xml:space="preserve">Medical Researchers</w:t>
      </w:r>
      <w:r>
        <w:t xml:space="preserve"> </w:t>
      </w:r>
      <w:r>
        <w:t xml:space="preserve">in</w:t>
      </w:r>
      <w:r>
        <w:t xml:space="preserve"> </w:t>
      </w:r>
      <w:r>
        <w:rPr>
          <w:bCs/>
          <w:b/>
        </w:rPr>
        <w:t xml:space="preserve">Kazakhstan Almaty</w:t>
      </w:r>
      <w:r>
        <w:t xml:space="preserve"> </w:t>
      </w:r>
      <w:r>
        <w:t xml:space="preserve">to participate in global research initiatives. It details the eligibility criteria and application processes for EU funding, encouraging local scientists to collaborate on projects related to climate change and health, as well as digital health solutions. The document highlights the growing recognition of Almaty as a key partner in international scientific networks, providing a roadmap for researchers seeking to expand their work beyond national borders while contributing to local health improvements.</w:t>
      </w:r>
    </w:p>
    <w:bookmarkEnd w:id="31"/>
    <w:bookmarkEnd w:id="32"/>
    <w:p>
      <w:pPr>
        <w:pStyle w:val="BodyText"/>
      </w:pPr>
      <w:r>
        <w:t xml:space="preserve">Document generated for educational and informational purposes regarding Medical Research in Almaty, Kazakhstan.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Medical Researcher in Almaty, Kazakhstan</dc:title>
  <dc:creator/>
  <dc:language>en</dc:language>
  <cp:keywords/>
  <dcterms:created xsi:type="dcterms:W3CDTF">2026-08-06T23:55:57Z</dcterms:created>
  <dcterms:modified xsi:type="dcterms:W3CDTF">2026-08-06T23:55:57Z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