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Barcelona,</w:t>
      </w:r>
      <w:r>
        <w:t xml:space="preserve"> </w:t>
      </w:r>
      <w:r>
        <w:t xml:space="preserve">Spain</w:t>
      </w:r>
    </w:p>
    <w:bookmarkStart w:id="24" w:name="X52c55abb8d17ed5bec16b2f8cadd555d6f9d135"/>
    <w:p>
      <w:pPr>
        <w:pStyle w:val="Heading1"/>
      </w:pPr>
      <w:r>
        <w:t xml:space="preserve">Annotated Bibliography: The Medical Researcher in Barcelona, Spain</w:t>
      </w:r>
    </w:p>
    <w:p>
      <w:pPr>
        <w:pStyle w:val="FirstParagraph"/>
      </w:pPr>
      <w:r>
        <w:rPr>
          <w:bCs/>
          <w:b/>
        </w:rPr>
        <w:t xml:space="preserve">Introduction:</w:t>
      </w:r>
      <w:r>
        <w:t xml:space="preserve"> </w:t>
      </w:r>
      <w:r>
        <w:t xml:space="preserve">This annotated bibliography compiles essential resources regarding the professional landscape, regulatory environment, and scientific ecosystem for a Medical Researcher operating in Barcelona, Spain. Barcelona has emerged as a premier hub for biomedical innovation in Europe, hosting world-class institutions such as the Barcelona Supercomputing Center (BSC) and the Hospital Clínic de Barcelona. The following entries provide a comprehensive overview of the legal frameworks, funding opportunities, and institutional structures that define the role of a medical researcher in this specific geographic and cultural context.</w:t>
      </w:r>
    </w:p>
    <w:bookmarkStart w:id="20" w:name="regulatory-and-legal-frameworks"/>
    <w:p>
      <w:pPr>
        <w:pStyle w:val="Heading2"/>
      </w:pPr>
      <w:r>
        <w:t xml:space="preserve">Regulatory and Legal Frameworks</w:t>
      </w:r>
    </w:p>
    <w:p>
      <w:pPr>
        <w:pStyle w:val="FirstParagraph"/>
      </w:pPr>
      <w:r>
        <w:t xml:space="preserve">European Commission. (2016). General Data Protection Regulation (GDPR) (Regulation (EU) 2016/679). Official Journal of the European Union.</w:t>
      </w:r>
    </w:p>
    <w:p>
      <w:pPr>
        <w:pStyle w:val="BodyText"/>
      </w:pPr>
      <w:r>
        <w:t xml:space="preserve">This regulation is the cornerstone of data privacy law in Spain and the European Union. For a Medical Researcher in Barcelona, the GDPR is not merely a legal formality but a fundamental operational constraint. It dictates how patient data is collected, stored, and processed during clinical trials and epidemiological studies. The annotation highlights that researchers must navigate strict consent protocols and data anonymization techniques. Understanding this document is critical for any researcher collaborating with Spanish hospitals, as non-compliance can result in severe penalties and the invalidation of research data.</w:t>
      </w:r>
    </w:p>
    <w:p>
      <w:pPr>
        <w:pStyle w:val="BodyText"/>
      </w:pPr>
      <w:r>
        <w:t xml:space="preserve">Ministerio de Sanidad. (2015). Ley 14/2007, de 3 de julio, de Investigación biomédica (Organic Law 14/2007 on Biomedical Research). Boletín Oficial del Estado.</w:t>
      </w:r>
    </w:p>
    <w:p>
      <w:pPr>
        <w:pStyle w:val="BodyText"/>
      </w:pPr>
      <w:r>
        <w:t xml:space="preserve">This Spanish organic law establishes the legal framework for biomedical research within the country. It is essential reading for any Medical Researcher intending to conduct work in Barcelona. The law outlines the rights and obligations of research participants, the requirements for ethical committees (Comités Éticos de la Investigación), and the standards for clinical trials. It specifically addresses the protection of human subjects and the use of biological samples, providing the statutory basis for the ethical review processes that researchers must undergo at institutions like the Institut d'Investigacions Biomèdiques August Pi i Sunyer (IDIBAPS).</w:t>
      </w:r>
    </w:p>
    <w:bookmarkEnd w:id="20"/>
    <w:bookmarkStart w:id="21" w:name="Xcd47621516ab5f02bf770ad3b9ed487a0fa5ee8"/>
    <w:p>
      <w:pPr>
        <w:pStyle w:val="Heading2"/>
      </w:pPr>
      <w:r>
        <w:t xml:space="preserve">Institutional Landscape and Research Hubs</w:t>
      </w:r>
    </w:p>
    <w:p>
      <w:pPr>
        <w:pStyle w:val="FirstParagraph"/>
      </w:pPr>
      <w:r>
        <w:t xml:space="preserve">Institut d'Investigacions Biomèdiques August Pi i Sunyer (IDIBAPS). (2023). Annual Report: Research Lines and Clinical Impact. Barcelona: IDIBAPS.</w:t>
      </w:r>
    </w:p>
    <w:p>
      <w:pPr>
        <w:pStyle w:val="BodyText"/>
      </w:pPr>
      <w:r>
        <w:t xml:space="preserve">IDIBAPS is one of the leading biomedical research institutes in Spain, closely linked to the Hospital Clínic de Barcelona. This annual report provides a detailed insight into the current priorities of medical research in the region, including oncology, cardiovascular diseases, and neurosciences. For a Medical Researcher, this document serves as a roadmap for potential collaboration opportunities. It highlights the institute's commitment to translational research—bridging the gap between basic science and clinical application. The report also details the infrastructure available, such as biobanks and clinical units, which are vital resources for researchers establishing their work in Barcelona.</w:t>
      </w:r>
    </w:p>
    <w:p>
      <w:pPr>
        <w:pStyle w:val="BodyText"/>
      </w:pPr>
      <w:r>
        <w:t xml:space="preserve">Barcelona Supercomputing Center (BSC-CNS). (2022). The Role of High-Performance Computing in Biomedical Research. Barcelona: BSC-CNS.</w:t>
      </w:r>
    </w:p>
    <w:p>
      <w:pPr>
        <w:pStyle w:val="BodyText"/>
      </w:pPr>
      <w:r>
        <w:t xml:space="preserve">As a Medical Researcher in Barcelona, access to computational power is increasingly vital. This publication from the BSC-CNS outlines how supercomputing is revolutionizing fields such as genomics, drug discovery, and personalized medicine. Barcelona is unique in its integration of computational science with biomedical research. This document explains how researchers can access BSC resources to model complex biological systems. It is particularly relevant for researchers focusing on big data analytics in healthcare, offering a technical perspective on the cutting-edge tools available in the Catalan ecosystem.</w:t>
      </w:r>
    </w:p>
    <w:bookmarkEnd w:id="21"/>
    <w:bookmarkStart w:id="22" w:name="funding-and-career-development"/>
    <w:p>
      <w:pPr>
        <w:pStyle w:val="Heading2"/>
      </w:pPr>
      <w:r>
        <w:t xml:space="preserve">Funding and Career Development</w:t>
      </w:r>
    </w:p>
    <w:p>
      <w:pPr>
        <w:pStyle w:val="FirstParagraph"/>
      </w:pPr>
      <w:r>
        <w:t xml:space="preserve">Ministerio de Ciencia e Innovación. (2023). Call for Projects: State Program for the Promotion of Talent and its Employment (Juan de la Cierva). Madrid: MCIN.</w:t>
      </w:r>
    </w:p>
    <w:p>
      <w:pPr>
        <w:pStyle w:val="BodyText"/>
      </w:pPr>
      <w:r>
        <w:t xml:space="preserve">Funding is a critical aspect of the Medical Researcher's career in Spain. This document details the "Juan de la Cierva" program, a prestigious grant aimed at attracting and retaining high-level scientific talent. For researchers in Barcelona, this is a primary source of financial support for postdoctoral positions and early-career projects. The annotation emphasizes the competitive nature of these grants and the specific requirements regarding publication records and project feasibility. Understanding this funding mechanism is essential for career planning and securing the financial stability needed to conduct long-term medical studies in Spain.</w:t>
      </w:r>
    </w:p>
    <w:p>
      <w:pPr>
        <w:pStyle w:val="BodyText"/>
      </w:pPr>
      <w:r>
        <w:t xml:space="preserve">Agència de Gestió d'Ajuts Universitaris i de Recerca (AGAUR). (2023). Catalan Research Funding Guide: Biomedical and Health Sciences. Barcelona: AGAUR.</w:t>
      </w:r>
    </w:p>
    <w:p>
      <w:pPr>
        <w:pStyle w:val="BodyText"/>
      </w:pPr>
      <w:r>
        <w:t xml:space="preserve">While national funding is important, regional funding from the Catalan government is equally significant. AGAUR is the agency responsible for managing research grants in Catalonia. This guide provides an overview of specific calls for projects related to health and biomedicine within the region. It highlights the strategic priorities of the Catalan government, which often align with Barcelona's status as a biotech hub. For a Medical Researcher, this document is a practical tool for identifying local funding streams that may be more accessible or tailored to regional health needs than national programs.</w:t>
      </w:r>
    </w:p>
    <w:bookmarkEnd w:id="22"/>
    <w:bookmarkStart w:id="23" w:name="Xb64263d0020ac19497b570a1961850105435307"/>
    <w:p>
      <w:pPr>
        <w:pStyle w:val="Heading2"/>
      </w:pPr>
      <w:r>
        <w:t xml:space="preserve">Ethical Considerations and Clinical Practice</w:t>
      </w:r>
    </w:p>
    <w:p>
      <w:pPr>
        <w:pStyle w:val="FirstParagraph"/>
      </w:pPr>
      <w:r>
        <w:t xml:space="preserve">World Medical Association. (2013). Declaration of Helsinki: Ethical Principles for Medical Research Involving Human Subjects. Journal of the American Medical Association, 310(20), 2191-2194.</w:t>
      </w:r>
    </w:p>
    <w:p>
      <w:pPr>
        <w:pStyle w:val="BodyText"/>
      </w:pPr>
      <w:r>
        <w:t xml:space="preserve">Although an international document, the Declaration of Helsinki is the ethical foundation upon which all medical research in Barcelona is built. It provides the moral guidelines for researchers dealing with human subjects. In the context of Spain, this declaration is integrated into local ethical review processes. For a Medical Researcher, familiarity with these principles is mandatory. It ensures that research conducted in Barcelona meets global standards of integrity and respect for human rights, which is crucial for the international recognition and publication of research findings.</w:t>
      </w:r>
    </w:p>
    <w:p>
      <w:pPr>
        <w:pStyle w:val="BodyText"/>
      </w:pPr>
      <w:r>
        <w:t xml:space="preserve">Consell Català de Col·legis de Metges. (2021). Code of Ethics for Medical Professionals in Catalonia. Barcelona: CCCM.</w:t>
      </w:r>
    </w:p>
    <w:p>
      <w:pPr>
        <w:pStyle w:val="BodyText"/>
      </w:pPr>
      <w:r>
        <w:t xml:space="preserve">This code outlines the professional and ethical standards expected of medical practitioners and researchers in Catalonia. It addresses issues such as conflicts of interest, professional conduct, and the relationship between researchers and patients. For a Medical Researcher working in Barcelona, this document provides cultural and professional context. It helps navigate the specific expectations of the local medical community and ensures that research activities are conducted in a manner that respects the professional norms of the region.</w:t>
      </w:r>
    </w:p>
    <w:p>
      <w:pPr>
        <w:pStyle w:val="BodyText"/>
      </w:pPr>
      <w:r>
        <w:t xml:space="preserve">Document prepared for educational and informational purposes regarding the Medical Researcher profession in Barcelona, Spain. All citations refer to publicly available or standard institutional documents.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Medical Researcher in Barcelona, Spain</dc:title>
  <dc:creator/>
  <dc:language>en</dc:language>
  <cp:keywords/>
  <dcterms:created xsi:type="dcterms:W3CDTF">2026-08-06T23:56:07Z</dcterms:created>
  <dcterms:modified xsi:type="dcterms:W3CDTF">2026-08-06T23:56:07Z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